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390E" w14:textId="52B9B12F" w:rsidR="00082455" w:rsidRPr="001B7CD3" w:rsidRDefault="00082455" w:rsidP="00082455">
      <w:pPr>
        <w:jc w:val="center"/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  <w:r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ANEXO #</w:t>
      </w:r>
      <w:r w:rsidR="00C517F6"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4 ACEPTACIÓN</w:t>
      </w:r>
      <w:r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 DE ANS</w:t>
      </w:r>
      <w:r w:rsidR="006C1A56"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 DE</w:t>
      </w:r>
      <w:r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 xml:space="preserve"> TECNOLÓGIA</w:t>
      </w:r>
    </w:p>
    <w:p w14:paraId="76DB24C9" w14:textId="77777777" w:rsidR="001B7CD3" w:rsidRPr="001B7CD3" w:rsidRDefault="001B7CD3" w:rsidP="00082455">
      <w:pPr>
        <w:jc w:val="center"/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</w:p>
    <w:p w14:paraId="74C3FD73" w14:textId="61D9AD53" w:rsidR="008A3514" w:rsidRPr="001B7CD3" w:rsidRDefault="00082455" w:rsidP="00082455">
      <w:pPr>
        <w:jc w:val="center"/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  <w:r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ACUERDOS DE NIVEL</w:t>
      </w:r>
      <w:r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ab/>
        <w:t xml:space="preserve"> DE SERVICIOS (ANS) </w:t>
      </w:r>
    </w:p>
    <w:p w14:paraId="4D99804E" w14:textId="412B920A" w:rsidR="006C1A56" w:rsidRPr="001B7CD3" w:rsidRDefault="00082455" w:rsidP="00082455">
      <w:pPr>
        <w:rPr>
          <w:rFonts w:ascii="Segoe UI Semilight" w:hAnsi="Segoe UI Semilight" w:cs="Segoe UI Semilight"/>
          <w:sz w:val="20"/>
          <w:szCs w:val="20"/>
          <w:lang w:val="es-MX"/>
        </w:rPr>
      </w:pPr>
      <w:r w:rsidRPr="001B7CD3">
        <w:rPr>
          <w:rFonts w:ascii="Segoe UI Semilight" w:hAnsi="Segoe UI Semilight" w:cs="Segoe UI Semilight"/>
          <w:sz w:val="20"/>
          <w:szCs w:val="20"/>
          <w:lang w:val="es-MX"/>
        </w:rPr>
        <w:t>El proponente debe cumplir con los siguientes ANS</w:t>
      </w:r>
      <w:r w:rsidR="006C1A56" w:rsidRPr="001B7CD3">
        <w:rPr>
          <w:rFonts w:ascii="Segoe UI Semilight" w:hAnsi="Segoe UI Semilight" w:cs="Segoe UI Semilight"/>
          <w:sz w:val="20"/>
          <w:szCs w:val="20"/>
          <w:lang w:val="es-MX"/>
        </w:rPr>
        <w:t xml:space="preserve"> de Tecnología con el fin de establecer los estándares de calidad, disponibilidad y responsabilidad del servicio prestado.</w:t>
      </w:r>
    </w:p>
    <w:p w14:paraId="043BB24E" w14:textId="3EC91F52" w:rsidR="45FFD077" w:rsidRPr="001B7CD3" w:rsidRDefault="45FFD077" w:rsidP="58A2FAC3">
      <w:pPr>
        <w:rPr>
          <w:rFonts w:ascii="Segoe UI Semilight" w:hAnsi="Segoe UI Semilight" w:cs="Segoe UI Semilight"/>
          <w:b/>
          <w:bCs/>
          <w:sz w:val="20"/>
          <w:szCs w:val="20"/>
          <w:lang w:val="es-MX"/>
        </w:rPr>
      </w:pPr>
      <w:r w:rsidRPr="001B7CD3">
        <w:rPr>
          <w:rFonts w:ascii="Segoe UI Semilight" w:hAnsi="Segoe UI Semilight" w:cs="Segoe UI Semilight"/>
          <w:b/>
          <w:bCs/>
          <w:sz w:val="20"/>
          <w:szCs w:val="20"/>
          <w:lang w:val="es-MX"/>
        </w:rPr>
        <w:t>Criterios para priorizar incidentes</w:t>
      </w: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5970"/>
      </w:tblGrid>
      <w:tr w:rsidR="58A2FAC3" w:rsidRPr="001B7CD3" w14:paraId="611A6BEF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1498F1B3" w14:textId="6EB6BB51" w:rsidR="21275B8F" w:rsidRPr="001B7CD3" w:rsidRDefault="21275B8F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Urgencia</w:t>
            </w:r>
          </w:p>
        </w:tc>
        <w:tc>
          <w:tcPr>
            <w:tcW w:w="5970" w:type="dxa"/>
            <w:shd w:val="clear" w:color="auto" w:fill="DAE9F7" w:themeFill="text2" w:themeFillTint="1A"/>
          </w:tcPr>
          <w:p w14:paraId="2A1F8CD0" w14:textId="40EA4613" w:rsidR="21275B8F" w:rsidRPr="001B7CD3" w:rsidRDefault="21275B8F" w:rsidP="58A2FAC3">
            <w:pPr>
              <w:spacing w:line="259" w:lineRule="auto"/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Definici</w:t>
            </w:r>
            <w:r w:rsidR="4DD8FC9A"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ó</w:t>
            </w: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58A2FAC3" w:rsidRPr="001B7CD3" w14:paraId="10467910" w14:textId="77777777" w:rsidTr="58A2FAC3">
        <w:trPr>
          <w:trHeight w:val="300"/>
          <w:jc w:val="center"/>
        </w:trPr>
        <w:tc>
          <w:tcPr>
            <w:tcW w:w="1404" w:type="dxa"/>
          </w:tcPr>
          <w:p w14:paraId="7C04EF77" w14:textId="64192661" w:rsidR="2BF235F8" w:rsidRPr="001B7CD3" w:rsidRDefault="2BF235F8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Alta</w:t>
            </w:r>
          </w:p>
        </w:tc>
        <w:tc>
          <w:tcPr>
            <w:tcW w:w="5970" w:type="dxa"/>
          </w:tcPr>
          <w:p w14:paraId="0A6A1923" w14:textId="46B3635E" w:rsidR="64FF8BEA" w:rsidRPr="001B7CD3" w:rsidRDefault="64FF8BEA" w:rsidP="58A2FAC3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Segoe UI" w:hAnsi="Segoe UI Semilight" w:cs="Segoe UI Semilight"/>
                <w:b/>
                <w:bCs/>
                <w:sz w:val="20"/>
                <w:szCs w:val="20"/>
              </w:rPr>
              <w:t>Errores críticos</w:t>
            </w:r>
            <w:r w:rsidRPr="001B7CD3">
              <w:rPr>
                <w:rFonts w:ascii="Segoe UI Semilight" w:eastAsia="Segoe UI" w:hAnsi="Segoe UI Semilight" w:cs="Segoe UI Semilight"/>
                <w:sz w:val="20"/>
                <w:szCs w:val="20"/>
              </w:rPr>
              <w:t>: Impacto alto sobre la aplicación que afecta a todos los usuarios del sistema (</w:t>
            </w:r>
            <w:r w:rsidR="619221EE" w:rsidRPr="001B7CD3">
              <w:rPr>
                <w:rFonts w:ascii="Segoe UI Semilight" w:eastAsia="Segoe UI" w:hAnsi="Segoe UI Semilight" w:cs="Segoe UI Semilight"/>
                <w:sz w:val="20"/>
                <w:szCs w:val="20"/>
              </w:rPr>
              <w:t>Bloqueó</w:t>
            </w:r>
            <w:r w:rsidRPr="001B7CD3">
              <w:rPr>
                <w:rFonts w:ascii="Segoe UI Semilight" w:eastAsia="Segoe UI" w:hAnsi="Segoe UI Semilight" w:cs="Segoe UI Semilight"/>
                <w:sz w:val="20"/>
                <w:szCs w:val="20"/>
              </w:rPr>
              <w:t xml:space="preserve"> total de módulos).</w:t>
            </w: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1B7CD3">
              <w:rPr>
                <w:rFonts w:ascii="Segoe UI Semilight" w:eastAsia="Segoe UI" w:hAnsi="Segoe UI Semilight" w:cs="Segoe UI Semilight"/>
                <w:b/>
                <w:bCs/>
                <w:sz w:val="20"/>
                <w:szCs w:val="20"/>
              </w:rPr>
              <w:t>Cumplimiento del cliente</w:t>
            </w:r>
            <w:r w:rsidRPr="001B7CD3">
              <w:rPr>
                <w:rFonts w:ascii="Segoe UI Semilight" w:eastAsia="Segoe UI" w:hAnsi="Segoe UI Semilight" w:cs="Segoe UI Semilight"/>
                <w:sz w:val="20"/>
                <w:szCs w:val="20"/>
              </w:rPr>
              <w:t>: Fallos que impactan auditorías internas/externas o requerimientos de Entes de Control.</w:t>
            </w:r>
          </w:p>
        </w:tc>
      </w:tr>
      <w:tr w:rsidR="58A2FAC3" w:rsidRPr="001B7CD3" w14:paraId="79743654" w14:textId="77777777" w:rsidTr="58A2FAC3">
        <w:trPr>
          <w:trHeight w:val="300"/>
          <w:jc w:val="center"/>
        </w:trPr>
        <w:tc>
          <w:tcPr>
            <w:tcW w:w="1404" w:type="dxa"/>
          </w:tcPr>
          <w:p w14:paraId="00F301F1" w14:textId="405DA793" w:rsidR="5543FFB9" w:rsidRPr="001B7CD3" w:rsidRDefault="5543FFB9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Media</w:t>
            </w:r>
          </w:p>
        </w:tc>
        <w:tc>
          <w:tcPr>
            <w:tcW w:w="5970" w:type="dxa"/>
          </w:tcPr>
          <w:p w14:paraId="3D1F5F6A" w14:textId="54AA13A3" w:rsidR="0638D3EF" w:rsidRPr="001B7CD3" w:rsidRDefault="0638D3EF" w:rsidP="58A2FAC3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Segoe UI" w:hAnsi="Segoe UI Semilight" w:cs="Segoe UI Semilight"/>
                <w:sz w:val="20"/>
                <w:szCs w:val="20"/>
              </w:rPr>
              <w:t>Impacto medio sobre la aplicación que afecta la funcionalidad del sistema para algunos usuarios; sin embargo, la aplicación puede continuar su funcionalidad de manera razonable.</w:t>
            </w:r>
          </w:p>
        </w:tc>
      </w:tr>
      <w:tr w:rsidR="58A2FAC3" w:rsidRPr="001B7CD3" w14:paraId="626B4124" w14:textId="77777777" w:rsidTr="58A2FAC3">
        <w:trPr>
          <w:trHeight w:val="300"/>
          <w:jc w:val="center"/>
        </w:trPr>
        <w:tc>
          <w:tcPr>
            <w:tcW w:w="1404" w:type="dxa"/>
          </w:tcPr>
          <w:p w14:paraId="5D6A172F" w14:textId="53917C72" w:rsidR="64553268" w:rsidRPr="001B7CD3" w:rsidRDefault="64553268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Baja</w:t>
            </w:r>
          </w:p>
        </w:tc>
        <w:tc>
          <w:tcPr>
            <w:tcW w:w="5970" w:type="dxa"/>
          </w:tcPr>
          <w:p w14:paraId="6D0B245F" w14:textId="0B2EC91C" w:rsidR="750A423F" w:rsidRPr="001B7CD3" w:rsidRDefault="750A423F" w:rsidP="58A2FAC3">
            <w:pPr>
              <w:jc w:val="both"/>
              <w:rPr>
                <w:rFonts w:ascii="Segoe UI Semilight" w:eastAsia="Segoe UI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Segoe UI" w:hAnsi="Segoe UI Semilight" w:cs="Segoe UI Semilight"/>
                <w:b/>
                <w:bCs/>
                <w:sz w:val="20"/>
                <w:szCs w:val="20"/>
              </w:rPr>
              <w:t>Solicitudes no críticas</w:t>
            </w:r>
            <w:r w:rsidRPr="001B7CD3">
              <w:rPr>
                <w:rFonts w:ascii="Segoe UI Semilight" w:eastAsia="Segoe UI" w:hAnsi="Segoe UI Semilight" w:cs="Segoe UI Semilight"/>
                <w:sz w:val="20"/>
                <w:szCs w:val="20"/>
              </w:rPr>
              <w:t>: Impacto mínimo sobre la aplicación lo cual hace que funcione con inconvenientes o fallas menores en los servicios.</w:t>
            </w: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1B7CD3">
              <w:rPr>
                <w:rFonts w:ascii="Segoe UI Semilight" w:eastAsia="Segoe UI" w:hAnsi="Segoe UI Semilight" w:cs="Segoe UI Semilight"/>
                <w:sz w:val="20"/>
                <w:szCs w:val="20"/>
              </w:rPr>
              <w:t>Errores que permiten más tiempo de análisis y depuración.</w:t>
            </w:r>
          </w:p>
        </w:tc>
      </w:tr>
    </w:tbl>
    <w:p w14:paraId="4D717682" w14:textId="274B6F37" w:rsidR="58A2FAC3" w:rsidRPr="001B7CD3" w:rsidRDefault="58A2FAC3">
      <w:pPr>
        <w:rPr>
          <w:rFonts w:ascii="Segoe UI Semilight" w:hAnsi="Segoe UI Semilight" w:cs="Segoe UI Semilight"/>
          <w:sz w:val="20"/>
          <w:szCs w:val="20"/>
        </w:rPr>
      </w:pPr>
    </w:p>
    <w:p w14:paraId="51FB881D" w14:textId="59CC43B9" w:rsidR="006C1A56" w:rsidRPr="001B7CD3" w:rsidRDefault="006C1A56" w:rsidP="00082455">
      <w:pPr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Los incidentes críticos que impactan significativamente los sistemas informáticos de la entidad, los cuales soportan las bases de datos, no deben superar las dos horas de solución.</w:t>
      </w:r>
    </w:p>
    <w:tbl>
      <w:tblPr>
        <w:tblStyle w:val="Tablaconcuadrculaclara"/>
        <w:tblW w:w="7559" w:type="dxa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006C1A56" w:rsidRPr="001B7CD3" w14:paraId="64583766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  <w:noWrap/>
            <w:hideMark/>
          </w:tcPr>
          <w:p w14:paraId="49A0BF1E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Prioridad</w:t>
            </w:r>
          </w:p>
        </w:tc>
        <w:tc>
          <w:tcPr>
            <w:tcW w:w="3242" w:type="dxa"/>
            <w:shd w:val="clear" w:color="auto" w:fill="DAE9F7" w:themeFill="text2" w:themeFillTint="1A"/>
            <w:noWrap/>
            <w:hideMark/>
          </w:tcPr>
          <w:p w14:paraId="36D0CAB9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  <w:noWrap/>
            <w:hideMark/>
          </w:tcPr>
          <w:p w14:paraId="02FDF979" w14:textId="4EF1E4A3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solución</w:t>
            </w:r>
            <w:r w:rsidR="4688983F"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 xml:space="preserve"> Temporal</w:t>
            </w:r>
          </w:p>
        </w:tc>
      </w:tr>
      <w:tr w:rsidR="006C1A56" w:rsidRPr="001B7CD3" w14:paraId="47B26ABE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7F422DC7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Alta</w:t>
            </w:r>
          </w:p>
        </w:tc>
        <w:tc>
          <w:tcPr>
            <w:tcW w:w="3242" w:type="dxa"/>
            <w:noWrap/>
            <w:hideMark/>
          </w:tcPr>
          <w:p w14:paraId="28E31C23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2 horas</w:t>
            </w:r>
          </w:p>
        </w:tc>
        <w:tc>
          <w:tcPr>
            <w:tcW w:w="2913" w:type="dxa"/>
            <w:noWrap/>
            <w:hideMark/>
          </w:tcPr>
          <w:p w14:paraId="2BBB3379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6 horas</w:t>
            </w:r>
          </w:p>
        </w:tc>
      </w:tr>
      <w:tr w:rsidR="006C1A56" w:rsidRPr="001B7CD3" w14:paraId="0B831DCD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22B5E74C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Media</w:t>
            </w:r>
          </w:p>
        </w:tc>
        <w:tc>
          <w:tcPr>
            <w:tcW w:w="3242" w:type="dxa"/>
            <w:noWrap/>
            <w:hideMark/>
          </w:tcPr>
          <w:p w14:paraId="37771425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6 horas</w:t>
            </w:r>
          </w:p>
        </w:tc>
        <w:tc>
          <w:tcPr>
            <w:tcW w:w="2913" w:type="dxa"/>
            <w:noWrap/>
            <w:hideMark/>
          </w:tcPr>
          <w:p w14:paraId="6E4C987E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12 horas</w:t>
            </w:r>
          </w:p>
        </w:tc>
      </w:tr>
      <w:tr w:rsidR="006C1A56" w:rsidRPr="001B7CD3" w14:paraId="4AB3A206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401AF70C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Baja</w:t>
            </w:r>
          </w:p>
        </w:tc>
        <w:tc>
          <w:tcPr>
            <w:tcW w:w="3242" w:type="dxa"/>
            <w:noWrap/>
            <w:hideMark/>
          </w:tcPr>
          <w:p w14:paraId="65845C53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8 horas</w:t>
            </w:r>
          </w:p>
        </w:tc>
        <w:tc>
          <w:tcPr>
            <w:tcW w:w="2913" w:type="dxa"/>
            <w:noWrap/>
            <w:hideMark/>
          </w:tcPr>
          <w:p w14:paraId="21D6DB9C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30 días</w:t>
            </w:r>
          </w:p>
        </w:tc>
      </w:tr>
    </w:tbl>
    <w:p w14:paraId="026E9F17" w14:textId="77777777" w:rsidR="006C1A56" w:rsidRPr="001B7CD3" w:rsidRDefault="006C1A56" w:rsidP="006C1A56">
      <w:pPr>
        <w:spacing w:after="0"/>
        <w:jc w:val="center"/>
        <w:rPr>
          <w:rFonts w:ascii="Segoe UI Semilight" w:hAnsi="Segoe UI Semilight" w:cs="Segoe UI Semilight"/>
          <w:b/>
          <w:bCs/>
          <w:sz w:val="20"/>
          <w:szCs w:val="20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4DD096A8" w:rsidRPr="001B7CD3" w14:paraId="53BA51E9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51A63039" w14:textId="34D31059" w:rsidR="4DD096A8" w:rsidRPr="001B7CD3" w:rsidRDefault="77BB04A7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3242" w:type="dxa"/>
            <w:shd w:val="clear" w:color="auto" w:fill="DAE9F7" w:themeFill="text2" w:themeFillTint="1A"/>
          </w:tcPr>
          <w:p w14:paraId="33216587" w14:textId="77777777" w:rsidR="4DD096A8" w:rsidRPr="001B7CD3" w:rsidRDefault="4DD096A8" w:rsidP="4DD096A8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</w:tcPr>
          <w:p w14:paraId="6298623E" w14:textId="4774EBA2" w:rsidR="4DD096A8" w:rsidRPr="001B7CD3" w:rsidRDefault="542F2EB5" w:rsidP="4DD096A8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de solución</w:t>
            </w:r>
            <w:r w:rsidR="6E1B73C9"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 xml:space="preserve"> Definitiva</w:t>
            </w:r>
          </w:p>
        </w:tc>
      </w:tr>
      <w:tr w:rsidR="4DD096A8" w:rsidRPr="001B7CD3" w14:paraId="49801CFA" w14:textId="77777777" w:rsidTr="58A2FAC3">
        <w:trPr>
          <w:trHeight w:val="300"/>
          <w:jc w:val="center"/>
        </w:trPr>
        <w:tc>
          <w:tcPr>
            <w:tcW w:w="1404" w:type="dxa"/>
          </w:tcPr>
          <w:p w14:paraId="1F2B93C2" w14:textId="713C4CB8" w:rsidR="4DD096A8" w:rsidRPr="001B7CD3" w:rsidRDefault="0C513CA6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3242" w:type="dxa"/>
          </w:tcPr>
          <w:p w14:paraId="07DD6972" w14:textId="0B8A4C73" w:rsidR="4DD096A8" w:rsidRPr="001B7CD3" w:rsidRDefault="0C513CA6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Entre 0 y 16 horas</w:t>
            </w:r>
          </w:p>
        </w:tc>
        <w:tc>
          <w:tcPr>
            <w:tcW w:w="2913" w:type="dxa"/>
          </w:tcPr>
          <w:p w14:paraId="07962663" w14:textId="156F6401" w:rsidR="4DD096A8" w:rsidRPr="001B7CD3" w:rsidRDefault="542F2EB5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2</w:t>
            </w:r>
            <w:r w:rsidR="58276752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4</w:t>
            </w: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</w:tr>
      <w:tr w:rsidR="4DD096A8" w:rsidRPr="001B7CD3" w14:paraId="4E39287E" w14:textId="77777777" w:rsidTr="58A2FAC3">
        <w:trPr>
          <w:trHeight w:val="300"/>
          <w:jc w:val="center"/>
        </w:trPr>
        <w:tc>
          <w:tcPr>
            <w:tcW w:w="1404" w:type="dxa"/>
          </w:tcPr>
          <w:p w14:paraId="25AF5972" w14:textId="67A3B339" w:rsidR="4DD096A8" w:rsidRPr="001B7CD3" w:rsidRDefault="3F92E12D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Medio</w:t>
            </w:r>
          </w:p>
        </w:tc>
        <w:tc>
          <w:tcPr>
            <w:tcW w:w="3242" w:type="dxa"/>
          </w:tcPr>
          <w:p w14:paraId="3B1FD4D9" w14:textId="36A0C341" w:rsidR="4DD096A8" w:rsidRPr="001B7CD3" w:rsidRDefault="3F92E12D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Entre 17 y </w:t>
            </w:r>
            <w:r w:rsidR="52D89BDB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40</w:t>
            </w: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073E6621" w14:textId="448D52E2" w:rsidR="4DD096A8" w:rsidRPr="001B7CD3" w:rsidRDefault="0B41C989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40</w:t>
            </w:r>
            <w:r w:rsidR="542F2EB5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</w:tr>
      <w:tr w:rsidR="4DD096A8" w:rsidRPr="001B7CD3" w14:paraId="7BA7A6CA" w14:textId="77777777" w:rsidTr="58A2FAC3">
        <w:trPr>
          <w:trHeight w:val="300"/>
          <w:jc w:val="center"/>
        </w:trPr>
        <w:tc>
          <w:tcPr>
            <w:tcW w:w="1404" w:type="dxa"/>
          </w:tcPr>
          <w:p w14:paraId="79FADD5A" w14:textId="22937AF0" w:rsidR="4DD096A8" w:rsidRPr="001B7CD3" w:rsidRDefault="1A9203A6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3242" w:type="dxa"/>
          </w:tcPr>
          <w:p w14:paraId="73F52FB5" w14:textId="7737D11C" w:rsidR="4DD096A8" w:rsidRPr="001B7CD3" w:rsidRDefault="28DCE76E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Entre 33 y </w:t>
            </w:r>
            <w:r w:rsidR="20D0996B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80</w:t>
            </w: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4B57F543" w14:textId="2A6AFCEB" w:rsidR="4DD096A8" w:rsidRPr="001B7CD3" w:rsidRDefault="0AFA39C0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80</w:t>
            </w:r>
            <w:r w:rsidR="542F2EB5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</w:tr>
      <w:tr w:rsidR="4DD096A8" w:rsidRPr="001B7CD3" w14:paraId="7B07DD96" w14:textId="77777777" w:rsidTr="58A2FAC3">
        <w:trPr>
          <w:trHeight w:val="300"/>
          <w:jc w:val="center"/>
        </w:trPr>
        <w:tc>
          <w:tcPr>
            <w:tcW w:w="1404" w:type="dxa"/>
          </w:tcPr>
          <w:p w14:paraId="60F5930F" w14:textId="550BEDFD" w:rsidR="4DD096A8" w:rsidRPr="001B7CD3" w:rsidRDefault="4ADCE1A2" w:rsidP="58A2FAC3">
            <w:pPr>
              <w:spacing w:line="259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Muy Alto</w:t>
            </w:r>
          </w:p>
        </w:tc>
        <w:tc>
          <w:tcPr>
            <w:tcW w:w="3242" w:type="dxa"/>
          </w:tcPr>
          <w:p w14:paraId="1C308144" w14:textId="0D6D4143" w:rsidR="4DD096A8" w:rsidRPr="001B7CD3" w:rsidRDefault="4ADCE1A2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Mas de </w:t>
            </w:r>
            <w:r w:rsidR="542F2EB5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8</w:t>
            </w:r>
            <w:r w:rsidR="72791BA4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0</w:t>
            </w:r>
            <w:r w:rsidR="542F2EB5"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6851D5B7" w14:textId="77777777" w:rsidR="4DD096A8" w:rsidRPr="001B7CD3" w:rsidRDefault="4DD096A8" w:rsidP="4DD096A8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 w:themeColor="text1"/>
                <w:sz w:val="20"/>
                <w:szCs w:val="20"/>
                <w:lang w:eastAsia="es-CO"/>
              </w:rPr>
              <w:t>30 días</w:t>
            </w:r>
          </w:p>
        </w:tc>
      </w:tr>
    </w:tbl>
    <w:p w14:paraId="5AF69552" w14:textId="22618B52" w:rsidR="4DD096A8" w:rsidRPr="001B7CD3" w:rsidRDefault="4DD096A8" w:rsidP="4DD096A8">
      <w:pPr>
        <w:spacing w:after="0"/>
        <w:jc w:val="center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2F1F1199" w14:textId="476FB808" w:rsidR="22662F75" w:rsidRPr="001B7CD3" w:rsidRDefault="22662F75" w:rsidP="58A2FAC3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1B7CD3">
        <w:rPr>
          <w:rFonts w:ascii="Segoe UI Semilight" w:hAnsi="Segoe UI Semilight" w:cs="Segoe UI Semilight"/>
          <w:b/>
          <w:bCs/>
          <w:sz w:val="20"/>
          <w:szCs w:val="20"/>
        </w:rPr>
        <w:t>Notas:</w:t>
      </w:r>
    </w:p>
    <w:p w14:paraId="58D479D4" w14:textId="77777777" w:rsidR="001B7CD3" w:rsidRPr="001B7CD3" w:rsidRDefault="001B7CD3" w:rsidP="58A2FAC3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69FE720B" w14:textId="62E9F56A" w:rsidR="22662F75" w:rsidRPr="001B7CD3" w:rsidRDefault="22662F75" w:rsidP="58A2FAC3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 xml:space="preserve">• El tiempo de </w:t>
      </w:r>
      <w:r w:rsidR="7D05F8C3" w:rsidRPr="001B7CD3">
        <w:rPr>
          <w:rFonts w:ascii="Segoe UI Semilight" w:hAnsi="Segoe UI Semilight" w:cs="Segoe UI Semilight"/>
          <w:sz w:val="20"/>
          <w:szCs w:val="20"/>
        </w:rPr>
        <w:t>atención</w:t>
      </w:r>
      <w:r w:rsidRPr="001B7CD3">
        <w:rPr>
          <w:rFonts w:ascii="Segoe UI Semilight" w:hAnsi="Segoe UI Semilight" w:cs="Segoe UI Semilight"/>
          <w:sz w:val="20"/>
          <w:szCs w:val="20"/>
        </w:rPr>
        <w:t xml:space="preserve"> es el tiempo entre el registro y la asignación de un consultor o ingeniero para iniciar su atención.</w:t>
      </w:r>
    </w:p>
    <w:p w14:paraId="2162F35D" w14:textId="0D7A3B94" w:rsidR="22662F75" w:rsidRPr="001B7CD3" w:rsidRDefault="22662F75" w:rsidP="58A2FAC3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• El tiempo de solución temporal es el tiempo entre el registro y el envío por parte de</w:t>
      </w:r>
      <w:r w:rsidR="0D93EF91" w:rsidRPr="001B7CD3">
        <w:rPr>
          <w:rFonts w:ascii="Segoe UI Semilight" w:hAnsi="Segoe UI Semilight" w:cs="Segoe UI Semilight"/>
          <w:sz w:val="20"/>
          <w:szCs w:val="20"/>
        </w:rPr>
        <w:t>l proveedor</w:t>
      </w:r>
      <w:r w:rsidRPr="001B7CD3">
        <w:rPr>
          <w:rFonts w:ascii="Segoe UI Semilight" w:hAnsi="Segoe UI Semilight" w:cs="Segoe UI Semilight"/>
          <w:sz w:val="20"/>
          <w:szCs w:val="20"/>
        </w:rPr>
        <w:t xml:space="preserve"> de una solución temporal que permita desbloquear la operación afectada. Durante este tiempo se debe realizar la estimación de la solución definitiva.</w:t>
      </w:r>
    </w:p>
    <w:p w14:paraId="3D95E497" w14:textId="34ECB039" w:rsidR="22662F75" w:rsidRPr="001B7CD3" w:rsidRDefault="22662F75" w:rsidP="58A2FAC3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• El tiempo de solución definitiva corresponde a la estimación del tiempo requerido (horas hábiles) para liberar la solución definitiva teniendo en cuenta el esfuerzo antes definido.</w:t>
      </w:r>
    </w:p>
    <w:p w14:paraId="25BEEDED" w14:textId="3D550A08" w:rsidR="006C1A56" w:rsidRPr="001B7CD3" w:rsidRDefault="006C1A56" w:rsidP="006C1A56">
      <w:pPr>
        <w:spacing w:after="0"/>
        <w:jc w:val="center"/>
        <w:rPr>
          <w:rFonts w:ascii="Segoe UI Semilight" w:hAnsi="Segoe UI Semilight" w:cs="Segoe UI Semilight"/>
          <w:b/>
          <w:bCs/>
          <w:sz w:val="20"/>
          <w:szCs w:val="20"/>
        </w:rPr>
      </w:pPr>
      <w:r w:rsidRPr="001B7CD3">
        <w:rPr>
          <w:rFonts w:ascii="Segoe UI Semilight" w:hAnsi="Segoe UI Semilight" w:cs="Segoe UI Semilight"/>
          <w:b/>
          <w:bCs/>
          <w:sz w:val="20"/>
          <w:szCs w:val="20"/>
        </w:rPr>
        <w:lastRenderedPageBreak/>
        <w:t>Impacto, Riesgo y Escalamiento</w:t>
      </w:r>
    </w:p>
    <w:p w14:paraId="68FA9321" w14:textId="77777777" w:rsidR="001B7CD3" w:rsidRPr="001B7CD3" w:rsidRDefault="001B7CD3" w:rsidP="006C1A56">
      <w:pPr>
        <w:spacing w:after="0"/>
        <w:jc w:val="center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28BA6D93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1B7CD3">
        <w:rPr>
          <w:rFonts w:ascii="Segoe UI Semilight" w:hAnsi="Segoe UI Semilight" w:cs="Segoe UI Semilight"/>
          <w:b/>
          <w:bCs/>
          <w:sz w:val="20"/>
          <w:szCs w:val="20"/>
        </w:rPr>
        <w:t>Matriz de Riesgo:</w:t>
      </w:r>
    </w:p>
    <w:p w14:paraId="2EAA8DF0" w14:textId="77777777" w:rsidR="001B7CD3" w:rsidRPr="001B7CD3" w:rsidRDefault="001B7CD3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0EB96AFB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Constituye al control y su gestión, normalmente utilizada para identificar las actividades (procesos y productos) más importantes de la empresa, con el tipo y nivel de riesgos inherentes a estas actividades.</w:t>
      </w:r>
    </w:p>
    <w:p w14:paraId="183F9232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47"/>
        <w:gridCol w:w="4999"/>
      </w:tblGrid>
      <w:tr w:rsidR="006C1A56" w:rsidRPr="001B7CD3" w14:paraId="779472D0" w14:textId="77777777" w:rsidTr="006C1A5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066BFB4D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  <w:t>Matriz de Riesgo</w:t>
            </w:r>
          </w:p>
        </w:tc>
      </w:tr>
      <w:tr w:rsidR="006C1A56" w:rsidRPr="001B7CD3" w14:paraId="139CC2F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15059E76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bCs/>
                <w:sz w:val="20"/>
                <w:szCs w:val="20"/>
                <w:lang w:eastAsia="es-CO"/>
              </w:rPr>
              <w:t>Tiempo disponible hasta la resolución</w:t>
            </w:r>
          </w:p>
        </w:tc>
      </w:tr>
      <w:tr w:rsidR="006C1A56" w:rsidRPr="001B7CD3" w14:paraId="51B593D8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2F3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Riesgo Alto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9D7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56CC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El servicio está totalmente detenido</w:t>
            </w:r>
          </w:p>
        </w:tc>
      </w:tr>
      <w:tr w:rsidR="006C1A56" w:rsidRPr="001B7CD3" w14:paraId="498CA53B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71A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Riesgo Medio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DED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F989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El servicio está parcialmente detenido</w:t>
            </w:r>
          </w:p>
        </w:tc>
      </w:tr>
      <w:tr w:rsidR="006C1A56" w:rsidRPr="001B7CD3" w14:paraId="081DDFE5" w14:textId="77777777" w:rsidTr="005970E3">
        <w:trPr>
          <w:trHeight w:val="315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592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Riesgo Bajo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369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D707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  <w:lang w:eastAsia="es-CO"/>
              </w:rPr>
              <w:t>El usuario puede trabajar</w:t>
            </w:r>
          </w:p>
        </w:tc>
      </w:tr>
    </w:tbl>
    <w:p w14:paraId="589FC6CD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4D28F7CA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1B7CD3">
        <w:rPr>
          <w:rFonts w:ascii="Segoe UI Semilight" w:hAnsi="Segoe UI Semilight" w:cs="Segoe UI Semilight"/>
          <w:b/>
          <w:bCs/>
          <w:sz w:val="20"/>
          <w:szCs w:val="20"/>
        </w:rPr>
        <w:t>Matriz de Impacto:</w:t>
      </w:r>
    </w:p>
    <w:p w14:paraId="78732702" w14:textId="77777777" w:rsidR="001B7CD3" w:rsidRPr="001B7CD3" w:rsidRDefault="001B7CD3" w:rsidP="006C1A56">
      <w:pPr>
        <w:spacing w:after="0"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7D294B03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Presenta la asignación de la calificación del impacto del cambio, frente a otros servicios.</w:t>
      </w:r>
    </w:p>
    <w:p w14:paraId="342FB9C9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082"/>
        <w:gridCol w:w="4961"/>
      </w:tblGrid>
      <w:tr w:rsidR="006C1A56" w:rsidRPr="001B7CD3" w14:paraId="166225B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25F72C10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  <w:t>Matriz de Impacto</w:t>
            </w:r>
          </w:p>
        </w:tc>
      </w:tr>
      <w:tr w:rsidR="006C1A56" w:rsidRPr="001B7CD3" w14:paraId="7D017C07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4E4D0D3B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es-CO"/>
              </w:rPr>
              <w:t>Grado de severidad del impacto al negocio</w:t>
            </w:r>
          </w:p>
        </w:tc>
      </w:tr>
      <w:tr w:rsidR="006C1A56" w:rsidRPr="001B7CD3" w14:paraId="4D2C0830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1274" w14:textId="3634305C" w:rsidR="006C1A56" w:rsidRPr="001B7CD3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Impacto Alto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B3FF" w14:textId="4C06FE0A" w:rsidR="006C1A56" w:rsidRPr="001B7CD3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961EE5" w14:textId="70157987" w:rsidR="006C1A56" w:rsidRPr="001B7CD3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Afecta toda la entidad</w:t>
            </w:r>
          </w:p>
        </w:tc>
      </w:tr>
      <w:tr w:rsidR="006C1A56" w:rsidRPr="001B7CD3" w14:paraId="330528D7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00D7" w14:textId="06105EBD" w:rsidR="006C1A56" w:rsidRPr="001B7CD3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Impacto Medio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050E" w14:textId="0C142CC0" w:rsidR="006C1A56" w:rsidRPr="001B7CD3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2D8D5" w14:textId="589F5F03" w:rsidR="006C1A56" w:rsidRPr="001B7CD3" w:rsidRDefault="006C1A56" w:rsidP="006C1A56">
            <w:pPr>
              <w:jc w:val="center"/>
              <w:rPr>
                <w:rFonts w:ascii="Segoe UI Semilight" w:eastAsia="Times New Roman" w:hAnsi="Segoe UI Semilight" w:cs="Segoe UI Semilight"/>
                <w:bCs/>
                <w:color w:val="FFFFFF"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Afecta solo dependencias o grupos de usuarios</w:t>
            </w:r>
          </w:p>
        </w:tc>
      </w:tr>
      <w:tr w:rsidR="006C1A56" w:rsidRPr="001B7CD3" w14:paraId="5B57FD0C" w14:textId="77777777" w:rsidTr="005970E3">
        <w:trPr>
          <w:trHeight w:val="31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231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  <w:t>Impacto Bajo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7395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F68C" w14:textId="77777777" w:rsidR="006C1A56" w:rsidRPr="001B7CD3" w:rsidRDefault="006C1A56" w:rsidP="005970E3">
            <w:pPr>
              <w:jc w:val="center"/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</w:pPr>
            <w:r w:rsidRPr="001B7CD3">
              <w:rPr>
                <w:rFonts w:ascii="Segoe UI Semilight" w:eastAsia="Times New Roman" w:hAnsi="Segoe UI Semilight" w:cs="Segoe UI Semilight"/>
                <w:bCs/>
                <w:sz w:val="20"/>
                <w:szCs w:val="20"/>
                <w:lang w:eastAsia="es-CO"/>
              </w:rPr>
              <w:t>Afecta solo un usuario</w:t>
            </w:r>
          </w:p>
        </w:tc>
      </w:tr>
    </w:tbl>
    <w:p w14:paraId="09C350B2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20AD4FCA" w14:textId="24FB79F5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El proveedor deberá incluir la matriz de escalamiento con mínimo 4 niveles de escalamiento</w:t>
      </w:r>
    </w:p>
    <w:p w14:paraId="5CFCAD46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369"/>
        <w:gridCol w:w="2265"/>
        <w:gridCol w:w="1929"/>
      </w:tblGrid>
      <w:tr w:rsidR="006C1A56" w:rsidRPr="001B7CD3" w14:paraId="6CA04C9B" w14:textId="77777777" w:rsidTr="00E91C61">
        <w:tc>
          <w:tcPr>
            <w:tcW w:w="2265" w:type="dxa"/>
            <w:shd w:val="clear" w:color="auto" w:fill="DAE9F7" w:themeFill="text2" w:themeFillTint="1A"/>
          </w:tcPr>
          <w:p w14:paraId="6A4E4FDB" w14:textId="77777777" w:rsidR="006C1A56" w:rsidRPr="001B7CD3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Cs w:val="20"/>
              </w:rPr>
              <w:t>Nivel de atención</w:t>
            </w:r>
          </w:p>
        </w:tc>
        <w:tc>
          <w:tcPr>
            <w:tcW w:w="2369" w:type="dxa"/>
            <w:shd w:val="clear" w:color="auto" w:fill="DAE9F7" w:themeFill="text2" w:themeFillTint="1A"/>
          </w:tcPr>
          <w:p w14:paraId="595A7F4A" w14:textId="77777777" w:rsidR="006C1A56" w:rsidRPr="001B7CD3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Cs w:val="20"/>
              </w:rPr>
              <w:t>Alcance</w:t>
            </w:r>
          </w:p>
        </w:tc>
        <w:tc>
          <w:tcPr>
            <w:tcW w:w="2265" w:type="dxa"/>
            <w:shd w:val="clear" w:color="auto" w:fill="DAE9F7" w:themeFill="text2" w:themeFillTint="1A"/>
          </w:tcPr>
          <w:p w14:paraId="7FD227F3" w14:textId="77777777" w:rsidR="006C1A56" w:rsidRPr="001B7CD3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Cs w:val="20"/>
              </w:rPr>
              <w:t>Línea de contacto</w:t>
            </w:r>
          </w:p>
        </w:tc>
        <w:tc>
          <w:tcPr>
            <w:tcW w:w="1929" w:type="dxa"/>
            <w:shd w:val="clear" w:color="auto" w:fill="DAE9F7" w:themeFill="text2" w:themeFillTint="1A"/>
          </w:tcPr>
          <w:p w14:paraId="3C538EF6" w14:textId="77777777" w:rsidR="006C1A56" w:rsidRPr="001B7CD3" w:rsidRDefault="006C1A56" w:rsidP="005970E3">
            <w:pPr>
              <w:jc w:val="center"/>
              <w:rPr>
                <w:rFonts w:ascii="Segoe UI Semilight" w:hAnsi="Segoe UI Semilight" w:cs="Segoe UI Semilight"/>
                <w:b/>
                <w:bCs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Cs w:val="20"/>
              </w:rPr>
              <w:t>Email de contacto</w:t>
            </w:r>
          </w:p>
        </w:tc>
      </w:tr>
      <w:tr w:rsidR="006C1A56" w:rsidRPr="001B7CD3" w14:paraId="58E2E439" w14:textId="77777777" w:rsidTr="005970E3">
        <w:tc>
          <w:tcPr>
            <w:tcW w:w="2265" w:type="dxa"/>
          </w:tcPr>
          <w:p w14:paraId="5CA7BCF5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 xml:space="preserve">Soporte </w:t>
            </w:r>
          </w:p>
        </w:tc>
        <w:tc>
          <w:tcPr>
            <w:tcW w:w="2369" w:type="dxa"/>
          </w:tcPr>
          <w:p w14:paraId="2A08FD83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>Atención a solicitudes, o incidencias</w:t>
            </w:r>
          </w:p>
        </w:tc>
        <w:tc>
          <w:tcPr>
            <w:tcW w:w="2265" w:type="dxa"/>
          </w:tcPr>
          <w:p w14:paraId="35F263C1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929" w:type="dxa"/>
          </w:tcPr>
          <w:p w14:paraId="2EE9C2CC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C1A56" w:rsidRPr="001B7CD3" w14:paraId="4543481F" w14:textId="77777777" w:rsidTr="005970E3">
        <w:tc>
          <w:tcPr>
            <w:tcW w:w="2265" w:type="dxa"/>
          </w:tcPr>
          <w:p w14:paraId="135A4FED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>Líder de soporte</w:t>
            </w:r>
          </w:p>
        </w:tc>
        <w:tc>
          <w:tcPr>
            <w:tcW w:w="2369" w:type="dxa"/>
          </w:tcPr>
          <w:p w14:paraId="0AB8FC2F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 xml:space="preserve">Priorización ante no atención y seguimiento </w:t>
            </w:r>
          </w:p>
        </w:tc>
        <w:tc>
          <w:tcPr>
            <w:tcW w:w="2265" w:type="dxa"/>
          </w:tcPr>
          <w:p w14:paraId="75AF5CAE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929" w:type="dxa"/>
          </w:tcPr>
          <w:p w14:paraId="63837599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C1A56" w:rsidRPr="001B7CD3" w14:paraId="69A44570" w14:textId="77777777" w:rsidTr="005970E3">
        <w:tc>
          <w:tcPr>
            <w:tcW w:w="2265" w:type="dxa"/>
          </w:tcPr>
          <w:p w14:paraId="4132A96C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>Líder de requerimientos o desarrollos</w:t>
            </w:r>
          </w:p>
        </w:tc>
        <w:tc>
          <w:tcPr>
            <w:tcW w:w="2369" w:type="dxa"/>
          </w:tcPr>
          <w:p w14:paraId="4F9A7E1C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>Priorización ante no atención y seguimiento</w:t>
            </w:r>
          </w:p>
        </w:tc>
        <w:tc>
          <w:tcPr>
            <w:tcW w:w="2265" w:type="dxa"/>
          </w:tcPr>
          <w:p w14:paraId="74E4C4E5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929" w:type="dxa"/>
          </w:tcPr>
          <w:p w14:paraId="07628566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C1A56" w:rsidRPr="001B7CD3" w14:paraId="02B36205" w14:textId="77777777" w:rsidTr="005970E3">
        <w:tc>
          <w:tcPr>
            <w:tcW w:w="2265" w:type="dxa"/>
          </w:tcPr>
          <w:p w14:paraId="5E08BA0B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>Gerente de cuenta</w:t>
            </w:r>
          </w:p>
        </w:tc>
        <w:tc>
          <w:tcPr>
            <w:tcW w:w="2369" w:type="dxa"/>
          </w:tcPr>
          <w:p w14:paraId="0FD62877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  <w:r w:rsidRPr="001B7CD3">
              <w:rPr>
                <w:rFonts w:ascii="Segoe UI Semilight" w:hAnsi="Segoe UI Semilight" w:cs="Segoe UI Semilight"/>
                <w:szCs w:val="20"/>
              </w:rPr>
              <w:t>Escalamiento ante incumplimientos</w:t>
            </w:r>
          </w:p>
        </w:tc>
        <w:tc>
          <w:tcPr>
            <w:tcW w:w="2265" w:type="dxa"/>
          </w:tcPr>
          <w:p w14:paraId="25DB295C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1929" w:type="dxa"/>
          </w:tcPr>
          <w:p w14:paraId="63CE76E0" w14:textId="77777777" w:rsidR="006C1A56" w:rsidRPr="001B7CD3" w:rsidRDefault="006C1A56" w:rsidP="005970E3">
            <w:pPr>
              <w:jc w:val="both"/>
              <w:rPr>
                <w:rFonts w:ascii="Segoe UI Semilight" w:hAnsi="Segoe UI Semilight" w:cs="Segoe UI Semilight"/>
                <w:szCs w:val="20"/>
              </w:rPr>
            </w:pPr>
          </w:p>
        </w:tc>
      </w:tr>
    </w:tbl>
    <w:p w14:paraId="0E58AD8C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6989C465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En caso de no cumplimiento de ANS el proveedor acepta y cumple la siguiente penalización mensual de cumplimiento en producción:</w:t>
      </w:r>
    </w:p>
    <w:p w14:paraId="0F381956" w14:textId="77777777" w:rsidR="00D47C16" w:rsidRPr="001B7CD3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984"/>
      </w:tblGrid>
      <w:tr w:rsidR="006C1A56" w:rsidRPr="001B7CD3" w14:paraId="701E310E" w14:textId="77777777" w:rsidTr="001B7CD3">
        <w:trPr>
          <w:tblHeader/>
          <w:tblCellSpacing w:w="15" w:type="dxa"/>
        </w:trPr>
        <w:tc>
          <w:tcPr>
            <w:tcW w:w="2507" w:type="dxa"/>
            <w:shd w:val="clear" w:color="auto" w:fill="DAE9F7" w:themeFill="text2" w:themeFillTint="1A"/>
            <w:vAlign w:val="center"/>
            <w:hideMark/>
          </w:tcPr>
          <w:p w14:paraId="6DEE1C68" w14:textId="31BFC67A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 </w:t>
            </w:r>
            <w:r w:rsidRPr="001B7CD3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0CE6B87C" w14:textId="588C32DB" w:rsidR="006C1A56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% de Penalización</w:t>
            </w:r>
          </w:p>
          <w:p w14:paraId="30921AE3" w14:textId="77777777" w:rsidR="001B7CD3" w:rsidRPr="001B7CD3" w:rsidRDefault="001B7CD3" w:rsidP="001B7C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C1A56" w:rsidRPr="001B7CD3" w14:paraId="112C2B2E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5D56FEF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48341591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0</w:t>
            </w:r>
          </w:p>
        </w:tc>
      </w:tr>
      <w:tr w:rsidR="006C1A56" w:rsidRPr="001B7CD3" w14:paraId="3A822B3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6812C78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0493F09B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2%</w:t>
            </w:r>
          </w:p>
        </w:tc>
      </w:tr>
      <w:tr w:rsidR="006C1A56" w:rsidRPr="001B7CD3" w14:paraId="6903ECD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EC0028B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172E5F1F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3%</w:t>
            </w:r>
          </w:p>
        </w:tc>
      </w:tr>
      <w:tr w:rsidR="006C1A56" w:rsidRPr="001B7CD3" w14:paraId="4FAA9C86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6A115D8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7CCFEC56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5%</w:t>
            </w:r>
          </w:p>
        </w:tc>
      </w:tr>
      <w:tr w:rsidR="006C1A56" w:rsidRPr="001B7CD3" w14:paraId="736930EA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F438F21" w14:textId="0AB20D5C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50% &lt;90%</w:t>
            </w:r>
          </w:p>
        </w:tc>
        <w:tc>
          <w:tcPr>
            <w:tcW w:w="1939" w:type="dxa"/>
            <w:vAlign w:val="center"/>
            <w:hideMark/>
          </w:tcPr>
          <w:p w14:paraId="3DD6C5A5" w14:textId="77777777" w:rsidR="006C1A56" w:rsidRPr="001B7CD3" w:rsidRDefault="006C1A56" w:rsidP="006C1A5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10%</w:t>
            </w:r>
          </w:p>
        </w:tc>
      </w:tr>
    </w:tbl>
    <w:p w14:paraId="25868961" w14:textId="514B3B4C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 </w:t>
      </w:r>
    </w:p>
    <w:p w14:paraId="35511832" w14:textId="24C796FE" w:rsidR="006C1A56" w:rsidRPr="001B7CD3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P</w:t>
      </w:r>
      <w:r w:rsidR="006C1A56" w:rsidRPr="001B7CD3">
        <w:rPr>
          <w:rFonts w:ascii="Segoe UI Semilight" w:hAnsi="Segoe UI Semilight" w:cs="Segoe UI Semilight"/>
          <w:sz w:val="20"/>
          <w:szCs w:val="20"/>
        </w:rPr>
        <w:t>enalización en etapa de proyecto:</w:t>
      </w:r>
    </w:p>
    <w:p w14:paraId="7A1DDB35" w14:textId="77777777" w:rsidR="00D47C16" w:rsidRPr="001B7CD3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  <w:lang w:val="es-ES"/>
        </w:rPr>
      </w:pPr>
    </w:p>
    <w:p w14:paraId="15C017C2" w14:textId="479C74AF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  <w:lang w:val="es-ES"/>
        </w:rPr>
      </w:pPr>
      <w:r w:rsidRPr="001B7CD3">
        <w:rPr>
          <w:rFonts w:ascii="Segoe UI Semilight" w:hAnsi="Segoe UI Semilight" w:cs="Segoe UI Semilight"/>
          <w:sz w:val="20"/>
          <w:szCs w:val="20"/>
          <w:lang w:val="es-ES"/>
        </w:rPr>
        <w:t xml:space="preserve">Acorde a los hitos del cronograma se aplicará la penalización previa aprobación de la gerencia del proyecto de acuerdo </w:t>
      </w:r>
      <w:r w:rsidR="2C429E25" w:rsidRPr="001B7CD3">
        <w:rPr>
          <w:rFonts w:ascii="Segoe UI Semilight" w:hAnsi="Segoe UI Semilight" w:cs="Segoe UI Semilight"/>
          <w:sz w:val="20"/>
          <w:szCs w:val="20"/>
          <w:lang w:val="es-ES"/>
        </w:rPr>
        <w:t xml:space="preserve">con el nivel de cumplimiento </w:t>
      </w:r>
      <w:r w:rsidRPr="001B7CD3">
        <w:rPr>
          <w:rFonts w:ascii="Segoe UI Semilight" w:hAnsi="Segoe UI Semilight" w:cs="Segoe UI Semilight"/>
          <w:sz w:val="20"/>
          <w:szCs w:val="20"/>
          <w:lang w:val="es-ES"/>
        </w:rPr>
        <w:t>y se aplicará en cada hito de pago previa revisión y acuerdo entre las partes:</w:t>
      </w:r>
    </w:p>
    <w:p w14:paraId="44BCBD91" w14:textId="77777777" w:rsidR="00D47C16" w:rsidRPr="001B7CD3" w:rsidRDefault="00D47C1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  <w:lang w:val="es-E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1B7CD3" w14:paraId="64F60DE3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3E03CFCD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3347CFA7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% de Penalización</w:t>
            </w:r>
          </w:p>
        </w:tc>
      </w:tr>
      <w:tr w:rsidR="006C1A56" w:rsidRPr="001B7CD3" w14:paraId="4303ADE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E7F9D99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0CDD226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0</w:t>
            </w:r>
          </w:p>
        </w:tc>
      </w:tr>
      <w:tr w:rsidR="006C1A56" w:rsidRPr="001B7CD3" w14:paraId="232A44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F347127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19E5E260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2%</w:t>
            </w:r>
          </w:p>
        </w:tc>
      </w:tr>
      <w:tr w:rsidR="006C1A56" w:rsidRPr="001B7CD3" w14:paraId="01D873B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7901BB6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5E83D03C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3%</w:t>
            </w:r>
          </w:p>
        </w:tc>
      </w:tr>
      <w:tr w:rsidR="006C1A56" w:rsidRPr="001B7CD3" w14:paraId="12B621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67DB7510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6926DB40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5%</w:t>
            </w:r>
          </w:p>
        </w:tc>
      </w:tr>
      <w:tr w:rsidR="006C1A56" w:rsidRPr="001B7CD3" w14:paraId="46699E6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2D6A7A" w14:textId="6F5941B0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80% &lt;90%</w:t>
            </w:r>
          </w:p>
        </w:tc>
        <w:tc>
          <w:tcPr>
            <w:tcW w:w="1939" w:type="dxa"/>
            <w:vAlign w:val="center"/>
            <w:hideMark/>
          </w:tcPr>
          <w:p w14:paraId="195AAB48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10%</w:t>
            </w:r>
          </w:p>
        </w:tc>
      </w:tr>
    </w:tbl>
    <w:p w14:paraId="5CEFC16B" w14:textId="77777777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74DC0F71" w14:textId="18BDE8FC" w:rsidR="006C1A56" w:rsidRPr="001B7CD3" w:rsidRDefault="006C1A56" w:rsidP="001B7CD3">
      <w:pPr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ANS Disponibilidad:</w:t>
      </w:r>
    </w:p>
    <w:p w14:paraId="4EE68DD0" w14:textId="71B9DE43" w:rsidR="006C1A56" w:rsidRPr="001B7CD3" w:rsidRDefault="006C1A56" w:rsidP="006C1A56">
      <w:pPr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  <w:lang w:val="es-ES"/>
        </w:rPr>
        <w:t>El proveedor debe garantizar una disponibilidad del 99.95% la cual deberá medirse a través de una herramienta que permita tener la disponibilidad de infraestructura y otros elementos de tecnología que hagan parte del SAAS.</w:t>
      </w:r>
    </w:p>
    <w:p w14:paraId="7DDB34BB" w14:textId="221FB28C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sz w:val="20"/>
          <w:szCs w:val="20"/>
        </w:rPr>
        <w:t>La penalización será mensual:</w:t>
      </w:r>
    </w:p>
    <w:p w14:paraId="5D82F7C5" w14:textId="3F064092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1B7CD3" w14:paraId="56079514" w14:textId="77777777" w:rsidTr="001B7CD3">
        <w:trPr>
          <w:tblHeader/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04683AEE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2DA96154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% de Penalización</w:t>
            </w:r>
          </w:p>
        </w:tc>
      </w:tr>
      <w:tr w:rsidR="006C1A56" w:rsidRPr="001B7CD3" w14:paraId="7D2E34C1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BEEF7A1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≥ 99.95% &lt; 100%</w:t>
            </w:r>
          </w:p>
        </w:tc>
        <w:tc>
          <w:tcPr>
            <w:tcW w:w="1939" w:type="dxa"/>
            <w:vAlign w:val="center"/>
            <w:hideMark/>
          </w:tcPr>
          <w:p w14:paraId="199ED3C0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0</w:t>
            </w:r>
          </w:p>
        </w:tc>
      </w:tr>
      <w:tr w:rsidR="006C1A56" w:rsidRPr="001B7CD3" w14:paraId="20BD045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AABF4E" w14:textId="3CD13FB2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≥ 98% &lt; 99,95%</w:t>
            </w:r>
          </w:p>
        </w:tc>
        <w:tc>
          <w:tcPr>
            <w:tcW w:w="1939" w:type="dxa"/>
            <w:vAlign w:val="center"/>
            <w:hideMark/>
          </w:tcPr>
          <w:p w14:paraId="617A0274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2%</w:t>
            </w:r>
          </w:p>
        </w:tc>
      </w:tr>
      <w:tr w:rsidR="006C1A56" w:rsidRPr="001B7CD3" w14:paraId="15274870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0E5D5707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≥ 94,00% &lt; 98,00%</w:t>
            </w:r>
          </w:p>
        </w:tc>
        <w:tc>
          <w:tcPr>
            <w:tcW w:w="1939" w:type="dxa"/>
            <w:vAlign w:val="center"/>
            <w:hideMark/>
          </w:tcPr>
          <w:p w14:paraId="2DE068F5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5%</w:t>
            </w:r>
          </w:p>
        </w:tc>
      </w:tr>
      <w:tr w:rsidR="006C1A56" w:rsidRPr="001B7CD3" w14:paraId="051A1B6B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1F12A477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≥ 90,00% &lt; 94,00%</w:t>
            </w:r>
          </w:p>
        </w:tc>
        <w:tc>
          <w:tcPr>
            <w:tcW w:w="1939" w:type="dxa"/>
            <w:vAlign w:val="center"/>
            <w:hideMark/>
          </w:tcPr>
          <w:p w14:paraId="293C306A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7%</w:t>
            </w:r>
          </w:p>
        </w:tc>
      </w:tr>
      <w:tr w:rsidR="006C1A56" w:rsidRPr="001B7CD3" w14:paraId="3251D38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559A813B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≥ 80% &lt; 90%</w:t>
            </w:r>
          </w:p>
        </w:tc>
        <w:tc>
          <w:tcPr>
            <w:tcW w:w="1939" w:type="dxa"/>
            <w:vAlign w:val="center"/>
            <w:hideMark/>
          </w:tcPr>
          <w:p w14:paraId="235C9877" w14:textId="77777777" w:rsidR="006C1A56" w:rsidRPr="001B7CD3" w:rsidRDefault="006C1A56" w:rsidP="00D47C16">
            <w:pPr>
              <w:spacing w:after="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B7CD3">
              <w:rPr>
                <w:rFonts w:ascii="Segoe UI Semilight" w:hAnsi="Segoe UI Semilight" w:cs="Segoe UI Semilight"/>
                <w:sz w:val="20"/>
                <w:szCs w:val="20"/>
              </w:rPr>
              <w:t>10%</w:t>
            </w:r>
          </w:p>
        </w:tc>
      </w:tr>
    </w:tbl>
    <w:p w14:paraId="0E6AB3CA" w14:textId="2F917D60" w:rsidR="006C1A56" w:rsidRPr="001B7CD3" w:rsidRDefault="006C1A56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41A419CE" w14:textId="08AF85D0" w:rsidR="00675957" w:rsidRPr="001B7CD3" w:rsidRDefault="00675957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</w:p>
    <w:p w14:paraId="5671BCDA" w14:textId="50AD37C1" w:rsidR="00D47C16" w:rsidRPr="001B7CD3" w:rsidRDefault="001B7CD3" w:rsidP="006C1A56">
      <w:p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B7CD3">
        <w:rPr>
          <w:rFonts w:ascii="Segoe UI Semilight" w:hAnsi="Segoe UI Semilight" w:cs="Segoe UI Semi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755B0" wp14:editId="17248DB1">
                <wp:simplePos x="0" y="0"/>
                <wp:positionH relativeFrom="column">
                  <wp:posOffset>901700</wp:posOffset>
                </wp:positionH>
                <wp:positionV relativeFrom="paragraph">
                  <wp:posOffset>120650</wp:posOffset>
                </wp:positionV>
                <wp:extent cx="3536950" cy="8763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B20C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208065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AAB9C4" w14:textId="6FD038D0" w:rsidR="00D47C16" w:rsidRPr="00D47C16" w:rsidRDefault="00D47C16" w:rsidP="00D47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</w:rPr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55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1pt;margin-top:9.5pt;width:278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">
                <v:textbox>
                  <w:txbxContent>
                    <w:p w14:paraId="1FFAB20C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22208065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79AAB9C4" w14:textId="6FD038D0" w:rsidR="00D47C16" w:rsidRPr="00D47C16" w:rsidRDefault="00D47C16" w:rsidP="00D47C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7C16">
                        <w:rPr>
                          <w:b/>
                          <w:bCs/>
                        </w:rPr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C16" w:rsidRPr="001B7CD3" w:rsidSect="001B7CD3">
      <w:pgSz w:w="12240" w:h="15840"/>
      <w:pgMar w:top="1147" w:right="1325" w:bottom="1417" w:left="1560" w:header="0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0779" w14:textId="77777777" w:rsidR="00EC2496" w:rsidRDefault="00EC2496" w:rsidP="001B7CD3">
      <w:pPr>
        <w:spacing w:after="0" w:line="240" w:lineRule="auto"/>
      </w:pPr>
      <w:r>
        <w:separator/>
      </w:r>
    </w:p>
  </w:endnote>
  <w:endnote w:type="continuationSeparator" w:id="0">
    <w:p w14:paraId="1AFDF1A8" w14:textId="77777777" w:rsidR="00EC2496" w:rsidRDefault="00EC2496" w:rsidP="001B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1782" w14:textId="77777777" w:rsidR="00EC2496" w:rsidRDefault="00EC2496" w:rsidP="001B7CD3">
      <w:pPr>
        <w:spacing w:after="0" w:line="240" w:lineRule="auto"/>
      </w:pPr>
      <w:r>
        <w:separator/>
      </w:r>
    </w:p>
  </w:footnote>
  <w:footnote w:type="continuationSeparator" w:id="0">
    <w:p w14:paraId="6EF8416E" w14:textId="77777777" w:rsidR="00EC2496" w:rsidRDefault="00EC2496" w:rsidP="001B7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2"/>
    <w:rsid w:val="00082455"/>
    <w:rsid w:val="001B7CD3"/>
    <w:rsid w:val="001D1081"/>
    <w:rsid w:val="0025586D"/>
    <w:rsid w:val="005536B2"/>
    <w:rsid w:val="0055546A"/>
    <w:rsid w:val="005D7BA8"/>
    <w:rsid w:val="00675957"/>
    <w:rsid w:val="006C1A56"/>
    <w:rsid w:val="0081109B"/>
    <w:rsid w:val="008A3514"/>
    <w:rsid w:val="00977BAC"/>
    <w:rsid w:val="00AF68D2"/>
    <w:rsid w:val="00B97F89"/>
    <w:rsid w:val="00BA7CBC"/>
    <w:rsid w:val="00C517F6"/>
    <w:rsid w:val="00D47C16"/>
    <w:rsid w:val="00E91C61"/>
    <w:rsid w:val="00EC2496"/>
    <w:rsid w:val="00EE7051"/>
    <w:rsid w:val="0638D3EF"/>
    <w:rsid w:val="07BFE16A"/>
    <w:rsid w:val="0A2F2764"/>
    <w:rsid w:val="0AFA39C0"/>
    <w:rsid w:val="0B41C989"/>
    <w:rsid w:val="0BCA21C6"/>
    <w:rsid w:val="0C513CA6"/>
    <w:rsid w:val="0D93EF91"/>
    <w:rsid w:val="14827474"/>
    <w:rsid w:val="1A9203A6"/>
    <w:rsid w:val="1EE469E1"/>
    <w:rsid w:val="20D0996B"/>
    <w:rsid w:val="21275B8F"/>
    <w:rsid w:val="218108B4"/>
    <w:rsid w:val="224B3A54"/>
    <w:rsid w:val="22662F75"/>
    <w:rsid w:val="2804D221"/>
    <w:rsid w:val="28DCE76E"/>
    <w:rsid w:val="29227F83"/>
    <w:rsid w:val="2AC8D126"/>
    <w:rsid w:val="2BF235F8"/>
    <w:rsid w:val="2C429E25"/>
    <w:rsid w:val="2EBDFD76"/>
    <w:rsid w:val="2EDDD24F"/>
    <w:rsid w:val="308EA513"/>
    <w:rsid w:val="30FA552B"/>
    <w:rsid w:val="367A3BD1"/>
    <w:rsid w:val="3680DD18"/>
    <w:rsid w:val="3707228C"/>
    <w:rsid w:val="3B5F97D2"/>
    <w:rsid w:val="3F92E12D"/>
    <w:rsid w:val="4016B0A6"/>
    <w:rsid w:val="45FFD077"/>
    <w:rsid w:val="4688983F"/>
    <w:rsid w:val="4ADCE1A2"/>
    <w:rsid w:val="4DD096A8"/>
    <w:rsid w:val="4DD8FC9A"/>
    <w:rsid w:val="512F3C05"/>
    <w:rsid w:val="5151F543"/>
    <w:rsid w:val="52C4318C"/>
    <w:rsid w:val="52D89BDB"/>
    <w:rsid w:val="542F2EB5"/>
    <w:rsid w:val="55125AA5"/>
    <w:rsid w:val="5543FFB9"/>
    <w:rsid w:val="5678EB7E"/>
    <w:rsid w:val="57AAFBFD"/>
    <w:rsid w:val="58276752"/>
    <w:rsid w:val="58A2FAC3"/>
    <w:rsid w:val="615234CC"/>
    <w:rsid w:val="619221EE"/>
    <w:rsid w:val="64553268"/>
    <w:rsid w:val="64FF8BEA"/>
    <w:rsid w:val="68C80859"/>
    <w:rsid w:val="6A15507B"/>
    <w:rsid w:val="6C053E34"/>
    <w:rsid w:val="6E1B73C9"/>
    <w:rsid w:val="72791BA4"/>
    <w:rsid w:val="750A423F"/>
    <w:rsid w:val="776A1914"/>
    <w:rsid w:val="77BB04A7"/>
    <w:rsid w:val="7C3BBC04"/>
    <w:rsid w:val="7D05F8C3"/>
    <w:rsid w:val="7D870592"/>
    <w:rsid w:val="7D88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82448"/>
  <w15:chartTrackingRefBased/>
  <w15:docId w15:val="{8BB40FB4-31B7-4DF7-9956-C12F078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8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8D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1A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A5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6C1A5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C1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C1A5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C1A56"/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6C1A56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7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CD3"/>
  </w:style>
  <w:style w:type="paragraph" w:styleId="Piedepgina">
    <w:name w:val="footer"/>
    <w:basedOn w:val="Normal"/>
    <w:link w:val="PiedepginaCar"/>
    <w:uiPriority w:val="99"/>
    <w:unhideWhenUsed/>
    <w:rsid w:val="001B7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01af2-de0c-45d8-a140-12cdf6427c23" xsi:nil="true"/>
    <lcf76f155ced4ddcb4097134ff3c332f xmlns="9b793246-ffc4-4d90-95bc-31153ad399d1">
      <Terms xmlns="http://schemas.microsoft.com/office/infopath/2007/PartnerControls"/>
    </lcf76f155ced4ddcb4097134ff3c332f>
    <_dlc_DocId xmlns="66b01af2-de0c-45d8-a140-12cdf6427c23">KW233QXXK22C-152475150-2946835</_dlc_DocId>
    <_dlc_DocIdUrl xmlns="66b01af2-de0c-45d8-a140-12cdf6427c23">
      <Url>https://fiducoldexsa.sharepoint.com/sites/Docs/_layouts/15/DocIdRedir.aspx?ID=KW233QXXK22C-152475150-2946835</Url>
      <Description>KW233QXXK22C-152475150-2946835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6B9DB2776C44D9FF569CD32733E6A" ma:contentTypeVersion="11409" ma:contentTypeDescription="Crear nuevo documento." ma:contentTypeScope="" ma:versionID="a1eedaac4618b960e1e9530df2bed54a">
  <xsd:schema xmlns:xsd="http://www.w3.org/2001/XMLSchema" xmlns:xs="http://www.w3.org/2001/XMLSchema" xmlns:p="http://schemas.microsoft.com/office/2006/metadata/properties" xmlns:ns2="66b01af2-de0c-45d8-a140-12cdf6427c23" xmlns:ns3="9b793246-ffc4-4d90-95bc-31153ad399d1" targetNamespace="http://schemas.microsoft.com/office/2006/metadata/properties" ma:root="true" ma:fieldsID="18d3c09fb71ea44d83f8d44d5234e2fc" ns2:_="" ns3:_="">
    <xsd:import namespace="66b01af2-de0c-45d8-a140-12cdf6427c23"/>
    <xsd:import namespace="9b793246-ffc4-4d90-95bc-31153ad399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1af2-de0c-45d8-a140-12cdf6427c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6c7de2-31e1-4cb8-8a53-103ea6dd6772}" ma:internalName="TaxCatchAll" ma:showField="CatchAllData" ma:web="66b01af2-de0c-45d8-a140-12cdf6427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3246-ffc4-4d90-95bc-31153ad3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67F2A-D6B9-416B-91C0-4BD17F9782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1D7E99-989B-4B32-8A94-5C8166A55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F4BDC-42FD-45B9-B1AE-868D906DBEE6}">
  <ds:schemaRefs>
    <ds:schemaRef ds:uri="http://schemas.microsoft.com/office/2006/metadata/properties"/>
    <ds:schemaRef ds:uri="http://schemas.microsoft.com/office/infopath/2007/PartnerControls"/>
    <ds:schemaRef ds:uri="66b01af2-de0c-45d8-a140-12cdf6427c23"/>
    <ds:schemaRef ds:uri="9b793246-ffc4-4d90-95bc-31153ad399d1"/>
  </ds:schemaRefs>
</ds:datastoreItem>
</file>

<file path=customXml/itemProps4.xml><?xml version="1.0" encoding="utf-8"?>
<ds:datastoreItem xmlns:ds="http://schemas.openxmlformats.org/officeDocument/2006/customXml" ds:itemID="{3F926C9B-B9A3-41B6-AA1D-B2557A94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01af2-de0c-45d8-a140-12cdf6427c23"/>
    <ds:schemaRef ds:uri="9b793246-ffc4-4d90-95bc-31153ad39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Ricardo Ovalle Roberto</dc:creator>
  <cp:keywords/>
  <dc:description/>
  <cp:lastModifiedBy>Johan Sebastian Lizarazo</cp:lastModifiedBy>
  <cp:revision>2</cp:revision>
  <dcterms:created xsi:type="dcterms:W3CDTF">2024-09-16T12:48:00Z</dcterms:created>
  <dcterms:modified xsi:type="dcterms:W3CDTF">2024-09-16T12:48:00Z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0x0101001306B9DB2776C44D9FF569CD32733E6A</vt:lpwstr>
  </property>
  <property fmtid="{D5CDD505-2E9C-101B-9397-08002B2CF9AE}" pid="3" name="_dlc_DocIdItemGuid">
    <vt:lpwstr>4cd085dd-91a5-4475-8525-61dd47e0a393</vt:lpwstr>
  </property>
  <property fmtid="{D5CDD505-2E9C-101B-9397-08002B2CF9AE}" pid="4" name="MediaServiceImageTags">
    <vt:lpwstr/>
  </property>
</Properties>
</file>