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91E7" w14:textId="6955DF0F" w:rsidR="009622A7" w:rsidRPr="004A63EB" w:rsidRDefault="009622A7" w:rsidP="00CD2460">
      <w:pPr>
        <w:spacing w:after="0" w:line="240" w:lineRule="auto"/>
        <w:ind w:right="-93"/>
        <w:jc w:val="center"/>
        <w:rPr>
          <w:rFonts w:ascii="Segoe UI" w:hAnsi="Segoe UI" w:cs="Segoe UI"/>
          <w:b/>
          <w:bCs/>
          <w:sz w:val="20"/>
          <w:szCs w:val="20"/>
        </w:rPr>
      </w:pPr>
      <w:r w:rsidRPr="619718F5">
        <w:rPr>
          <w:rFonts w:ascii="Segoe UI" w:hAnsi="Segoe UI" w:cs="Segoe UI"/>
          <w:b/>
          <w:bCs/>
          <w:sz w:val="20"/>
          <w:szCs w:val="20"/>
        </w:rPr>
        <w:t xml:space="preserve">ANEXO No. </w:t>
      </w:r>
      <w:r w:rsidR="00391DE9">
        <w:rPr>
          <w:rFonts w:ascii="Segoe UI" w:hAnsi="Segoe UI" w:cs="Segoe UI"/>
          <w:b/>
          <w:bCs/>
          <w:sz w:val="20"/>
          <w:szCs w:val="20"/>
        </w:rPr>
        <w:t>5</w:t>
      </w:r>
    </w:p>
    <w:p w14:paraId="69EF0FAB" w14:textId="5E67654B" w:rsidR="00DB54E9" w:rsidRDefault="00040DC5" w:rsidP="00040DC5">
      <w:pPr>
        <w:spacing w:after="0" w:line="240" w:lineRule="auto"/>
        <w:ind w:right="-93"/>
        <w:jc w:val="center"/>
        <w:rPr>
          <w:rFonts w:ascii="Segoe UI" w:hAnsi="Segoe UI" w:cs="Segoe UI"/>
          <w:b/>
          <w:bCs/>
          <w:sz w:val="20"/>
          <w:szCs w:val="20"/>
        </w:rPr>
      </w:pPr>
      <w:r w:rsidRPr="00040DC5">
        <w:rPr>
          <w:rFonts w:ascii="Segoe UI" w:hAnsi="Segoe UI" w:cs="Segoe UI"/>
          <w:b/>
          <w:bCs/>
          <w:sz w:val="20"/>
          <w:szCs w:val="20"/>
        </w:rPr>
        <w:t>FORMATO DE ÉTICA</w:t>
      </w:r>
    </w:p>
    <w:p w14:paraId="57C5B0F9" w14:textId="77777777" w:rsidR="00040DC5" w:rsidRPr="00040DC5" w:rsidRDefault="00040DC5" w:rsidP="00040DC5">
      <w:pPr>
        <w:spacing w:after="0" w:line="240" w:lineRule="auto"/>
        <w:ind w:right="-93"/>
        <w:jc w:val="center"/>
        <w:rPr>
          <w:rFonts w:ascii="Segoe UI" w:hAnsi="Segoe UI" w:cs="Segoe UI"/>
          <w:b/>
          <w:bCs/>
          <w:sz w:val="20"/>
          <w:szCs w:val="20"/>
        </w:rPr>
      </w:pPr>
    </w:p>
    <w:p w14:paraId="2B3413AB" w14:textId="6BD62E29" w:rsidR="00391DE9" w:rsidRPr="00391DE9" w:rsidRDefault="00391DE9" w:rsidP="00391DE9">
      <w:pPr>
        <w:jc w:val="center"/>
        <w:rPr>
          <w:b/>
          <w:bCs/>
        </w:rPr>
      </w:pPr>
      <w:r w:rsidRPr="00451028">
        <w:rPr>
          <w:b/>
          <w:bCs/>
        </w:rPr>
        <w:t>CLÁUSULA DE TRANSPARENCIA, ÉTICA Y CUMPLIMIENTO</w:t>
      </w:r>
    </w:p>
    <w:p w14:paraId="07E3611D" w14:textId="77777777" w:rsidR="00391DE9" w:rsidRPr="00451028" w:rsidRDefault="00391DE9" w:rsidP="00391DE9">
      <w:pPr>
        <w:jc w:val="both"/>
      </w:pPr>
      <w:r w:rsidRPr="00451028">
        <w:t>La FIDUCIARIA COLOMBIANA DE COMERCIO EXTERIOR S.A. – FIDUCOLDEX, en su calidad de vocera y administradora del PATRIMONIO AUTÓNOMO (PA), promueve el cumplimiento de los más altos estándares de ética, integridad, transparencia y cumplimiento normativo, y exige a sus oferentes, contratistas, proveedores, agentes y al CONTRATISTA, así como al personal y firmas que este vincule para el desarrollo de las actividades pactadas, la observancia estricta de los principios y obligaciones contenidos en este Anexo y de la normativa nacional o internacional aplicable.</w:t>
      </w:r>
    </w:p>
    <w:p w14:paraId="39114EC8" w14:textId="77777777" w:rsidR="00391DE9" w:rsidRPr="00451028" w:rsidRDefault="00391DE9" w:rsidP="00391DE9">
      <w:pPr>
        <w:jc w:val="both"/>
      </w:pPr>
      <w:r w:rsidRPr="00451028">
        <w:t>El contenido de este Anexo integra los lineamientos y estándares de conducta esperados y establece parámetros para la prevención y mitigación de riesgos asociados a corrupción, soborno, fraude, lavado de activos, financiación del terrorismo, financiación de la proliferación de armas de destrucción masiva, conflictos de interés, inhabilidades, incompatibilidades, libre y leal competencia y demás actuaciones contrarias a la ley.</w:t>
      </w:r>
    </w:p>
    <w:p w14:paraId="68081FCD" w14:textId="77777777" w:rsidR="00391DE9" w:rsidRDefault="00391DE9" w:rsidP="00391DE9">
      <w:pPr>
        <w:jc w:val="both"/>
      </w:pPr>
      <w:r w:rsidRPr="00451028">
        <w:t>Por lo expuesto, el CONTRATISTA declara y acepta que, con la suscripción del Contrato, cumplirá con las obligaciones contenidas en este Anexo, el cual hace parte integral del mismo y será de obligatorio cumplimiento.</w:t>
      </w:r>
    </w:p>
    <w:p w14:paraId="1AB8F0D0" w14:textId="77777777" w:rsidR="00391DE9" w:rsidRPr="00451028" w:rsidRDefault="00391DE9" w:rsidP="00391DE9">
      <w:pPr>
        <w:jc w:val="both"/>
      </w:pPr>
    </w:p>
    <w:p w14:paraId="43FB2046" w14:textId="77777777" w:rsidR="00391DE9" w:rsidRPr="00451028" w:rsidRDefault="00391DE9" w:rsidP="00391DE9">
      <w:pPr>
        <w:jc w:val="center"/>
        <w:rPr>
          <w:b/>
          <w:bCs/>
        </w:rPr>
      </w:pPr>
      <w:r w:rsidRPr="00451028">
        <w:rPr>
          <w:b/>
          <w:bCs/>
        </w:rPr>
        <w:t>ANEXO – OBLIGACIONES DE TRANSPARENCIA, ÉTICA Y CUMPLIMIENTO DEL CONTRATISTA</w:t>
      </w:r>
    </w:p>
    <w:p w14:paraId="1411E690" w14:textId="77777777" w:rsidR="00391DE9" w:rsidRPr="00451028" w:rsidRDefault="00391DE9" w:rsidP="00391DE9">
      <w:pPr>
        <w:jc w:val="both"/>
      </w:pPr>
    </w:p>
    <w:p w14:paraId="0DC6E095" w14:textId="77777777" w:rsidR="00391DE9" w:rsidRDefault="00391DE9" w:rsidP="00391DE9">
      <w:pPr>
        <w:jc w:val="both"/>
      </w:pPr>
      <w:r w:rsidRPr="00451028">
        <w:t>El CONTRATISTA, con la suscripción del Contrato, formula las siguientes declaraciones y adquiere los siguientes compromisos:</w:t>
      </w:r>
    </w:p>
    <w:p w14:paraId="21A2656F" w14:textId="77777777" w:rsidR="00391DE9" w:rsidRPr="00451028" w:rsidRDefault="00391DE9" w:rsidP="00391DE9">
      <w:pPr>
        <w:jc w:val="both"/>
      </w:pPr>
    </w:p>
    <w:p w14:paraId="6E1A1ABA" w14:textId="77777777" w:rsidR="00391DE9" w:rsidRPr="00DF5950" w:rsidRDefault="00391DE9" w:rsidP="00391DE9">
      <w:pPr>
        <w:pStyle w:val="Prrafodelista"/>
        <w:numPr>
          <w:ilvl w:val="0"/>
          <w:numId w:val="13"/>
        </w:numPr>
        <w:spacing w:after="0" w:line="240" w:lineRule="auto"/>
        <w:ind w:hanging="720"/>
        <w:jc w:val="both"/>
        <w:rPr>
          <w:b/>
          <w:bCs/>
        </w:rPr>
      </w:pPr>
      <w:r w:rsidRPr="00DF5950">
        <w:rPr>
          <w:b/>
          <w:bCs/>
        </w:rPr>
        <w:t>Cumplimiento de obligaciones de ética, integridad y cumplimiento normativo:</w:t>
      </w:r>
    </w:p>
    <w:p w14:paraId="7A8055BE" w14:textId="77777777" w:rsidR="00391DE9" w:rsidRDefault="00391DE9" w:rsidP="00391DE9">
      <w:pPr>
        <w:pStyle w:val="Prrafodelista"/>
        <w:numPr>
          <w:ilvl w:val="1"/>
          <w:numId w:val="13"/>
        </w:numPr>
        <w:spacing w:after="0" w:line="240" w:lineRule="auto"/>
        <w:ind w:left="426" w:hanging="426"/>
        <w:jc w:val="both"/>
      </w:pPr>
      <w:r>
        <w:t>Que ha revisado, entiende y se obliga a cumplir las obligaciones de ética, integridad, transparencia y cumplimiento establecidas en este Anexo, orientadas a la prevención de hechos de corrupción, soborno, fraude, lavado de activos, financiación del terrorismo, financiación de la proliferación de armas de destrucción masiva, violaciones a leyes anticorrupción aplicables, conflictos de interés, inhabilidades, incompatibilidades, captación o recaudo ilegal de dineros del público y violaciones a la libre y leal competencia.</w:t>
      </w:r>
    </w:p>
    <w:p w14:paraId="286643C0" w14:textId="77777777" w:rsidR="00391DE9" w:rsidRDefault="00391DE9" w:rsidP="00391DE9">
      <w:pPr>
        <w:pStyle w:val="Prrafodelista"/>
        <w:numPr>
          <w:ilvl w:val="1"/>
          <w:numId w:val="13"/>
        </w:numPr>
        <w:spacing w:after="0" w:line="240" w:lineRule="auto"/>
        <w:ind w:left="426" w:hanging="426"/>
        <w:jc w:val="both"/>
      </w:pPr>
      <w:r>
        <w:t>Que al participar en el proceso de selección y con la suscripción del Contrato, acepta y se adhiere a las obligaciones establecidas en este Anexo, comprometiéndose a no incurrir ni permitir que, con su actuación en desarrollo del Contrato, se ejecuten actos de corrupción, soborno, fraude, lavado de activos, financiación del terrorismo, financiación de la proliferación de armas de destrucción masiva, violaciones a leyes anticorrupción, conflictos de interés, inhabilidades, incompatibilidades, captación o recaudo ilegal de dineros del público o violaciones a la libre y leal competencia. Igualmente, se obliga a actuar de manera transparente y conforme a principios de integridad, responsabilidad y respeto.</w:t>
      </w:r>
    </w:p>
    <w:p w14:paraId="7641DB9D" w14:textId="77777777" w:rsidR="00391DE9" w:rsidRDefault="00391DE9" w:rsidP="00391DE9">
      <w:pPr>
        <w:pStyle w:val="Prrafodelista"/>
        <w:numPr>
          <w:ilvl w:val="1"/>
          <w:numId w:val="13"/>
        </w:numPr>
        <w:spacing w:after="0" w:line="240" w:lineRule="auto"/>
        <w:ind w:left="426" w:hanging="426"/>
        <w:jc w:val="both"/>
      </w:pPr>
      <w:r>
        <w:lastRenderedPageBreak/>
        <w:t>Que se obliga a socializar a sus empleados y a los terceros que presten servicios relacionados con la ejecución del Contrato las obligaciones éticas y de cumplimiento establecidas en este Anexo, asegurando que dichos empleados y terceros entienden sus contenidos y cumplen con ellos durante el desarrollo de todas las actividades contractuales.</w:t>
      </w:r>
    </w:p>
    <w:p w14:paraId="5792FF15" w14:textId="77777777" w:rsidR="00391DE9" w:rsidRDefault="00391DE9" w:rsidP="00391DE9">
      <w:pPr>
        <w:pStyle w:val="Prrafodelista"/>
        <w:numPr>
          <w:ilvl w:val="1"/>
          <w:numId w:val="13"/>
        </w:numPr>
        <w:spacing w:after="0" w:line="240" w:lineRule="auto"/>
        <w:ind w:left="426" w:hanging="426"/>
        <w:jc w:val="both"/>
      </w:pPr>
      <w:r>
        <w:t>Que se obliga a no emplear los recursos entregados para la ejecución del Contrato en actividades ilícitas contempladas en el Código Penal Colombiano, ni a mantener relación con empresas o personas involucradas en este tipo de actividades, ni con personas o entidades sancionadas bajo leyes anticorrupción internacionales, ni con personas, empresas o países incluidos en listas restrictivas tales como:</w:t>
      </w:r>
    </w:p>
    <w:p w14:paraId="3D50BBF2" w14:textId="77777777" w:rsidR="00391DE9" w:rsidRDefault="00391DE9" w:rsidP="00391DE9">
      <w:pPr>
        <w:pStyle w:val="Prrafodelista"/>
        <w:ind w:left="426" w:hanging="426"/>
        <w:jc w:val="both"/>
      </w:pPr>
    </w:p>
    <w:p w14:paraId="5D46FB4B" w14:textId="77777777" w:rsidR="00391DE9" w:rsidRDefault="00391DE9" w:rsidP="00391DE9">
      <w:pPr>
        <w:pStyle w:val="Prrafodelista"/>
        <w:numPr>
          <w:ilvl w:val="2"/>
          <w:numId w:val="13"/>
        </w:numPr>
        <w:spacing w:after="0" w:line="240" w:lineRule="auto"/>
        <w:ind w:left="426" w:hanging="426"/>
        <w:jc w:val="both"/>
      </w:pPr>
      <w:r>
        <w:t>Listas emitidas por el Consejo de Seguridad de las Naciones Unidas y otros organismos internacionales relacionadas con terrorismo.</w:t>
      </w:r>
    </w:p>
    <w:p w14:paraId="072357EC" w14:textId="77777777" w:rsidR="00391DE9" w:rsidRDefault="00391DE9" w:rsidP="00391DE9">
      <w:pPr>
        <w:pStyle w:val="Prrafodelista"/>
        <w:numPr>
          <w:ilvl w:val="2"/>
          <w:numId w:val="13"/>
        </w:numPr>
        <w:spacing w:after="0" w:line="240" w:lineRule="auto"/>
        <w:ind w:left="426" w:hanging="426"/>
        <w:jc w:val="both"/>
      </w:pPr>
      <w:r>
        <w:t>Listas de la Oficina de Control de Activos Extranjeros – OFAC (SDNT, SFNT, SDGT, entre otras).</w:t>
      </w:r>
    </w:p>
    <w:p w14:paraId="71F0ACE2" w14:textId="77777777" w:rsidR="00391DE9" w:rsidRDefault="00391DE9" w:rsidP="00391DE9">
      <w:pPr>
        <w:pStyle w:val="Prrafodelista"/>
        <w:numPr>
          <w:ilvl w:val="2"/>
          <w:numId w:val="13"/>
        </w:numPr>
        <w:spacing w:after="0" w:line="240" w:lineRule="auto"/>
        <w:ind w:left="426" w:hanging="426"/>
        <w:jc w:val="both"/>
      </w:pPr>
      <w:r>
        <w:t>Listas restrictivas emitidas por la Unión Europea, Canadá, Suiza, Japón, Hong Kong y Reino Unido.</w:t>
      </w:r>
    </w:p>
    <w:p w14:paraId="39254420" w14:textId="77777777" w:rsidR="00391DE9" w:rsidRDefault="00391DE9" w:rsidP="00391DE9">
      <w:pPr>
        <w:pStyle w:val="Prrafodelista"/>
        <w:jc w:val="both"/>
        <w:rPr>
          <w:b/>
          <w:bCs/>
        </w:rPr>
      </w:pPr>
    </w:p>
    <w:p w14:paraId="65B35A5C" w14:textId="77777777" w:rsidR="00391DE9" w:rsidRPr="00DF5950" w:rsidRDefault="00391DE9" w:rsidP="00391DE9">
      <w:pPr>
        <w:pStyle w:val="Prrafodelista"/>
        <w:numPr>
          <w:ilvl w:val="0"/>
          <w:numId w:val="13"/>
        </w:numPr>
        <w:spacing w:after="0" w:line="240" w:lineRule="auto"/>
        <w:ind w:left="142"/>
        <w:jc w:val="both"/>
        <w:rPr>
          <w:b/>
          <w:bCs/>
        </w:rPr>
      </w:pPr>
      <w:r w:rsidRPr="00DF5950">
        <w:rPr>
          <w:b/>
          <w:bCs/>
        </w:rPr>
        <w:t>Cumplimiento con las leyes antisoborno:</w:t>
      </w:r>
    </w:p>
    <w:p w14:paraId="2C9E7A5A" w14:textId="77777777" w:rsidR="00391DE9" w:rsidRDefault="00391DE9" w:rsidP="00391DE9">
      <w:pPr>
        <w:ind w:left="142"/>
        <w:jc w:val="both"/>
      </w:pPr>
    </w:p>
    <w:p w14:paraId="56C89CFF" w14:textId="77777777" w:rsidR="00391DE9" w:rsidRDefault="00391DE9" w:rsidP="00391DE9">
      <w:pPr>
        <w:pStyle w:val="Prrafodelista"/>
        <w:ind w:left="142"/>
        <w:jc w:val="both"/>
      </w:pPr>
      <w:r>
        <w:t>Que cumplirá estrictamente con las leyes antisoborno que le resulten aplicables, incluyendo, sin limitarse a, la Ley de los Estados Unidos de Prácticas Corruptas en el Extranjero («FCPA»), la Ley 1778 de 2016 y la Ley 2195 de 2022, o las normas que las sustituyan, adicionen o modifiquen (en conjunto, las «Leyes Antisoborno»). El CONTRATISTA declara que se abstendrá de utilizar cualquier tipo de influencia para gestionar beneficios, obtener o retener negocios, facilitar trámites o dar, ofrecer, prometer, exigir, solicitar, recibir o autorizar cualquier tipo de pago o valor de naturaleza financiera o no financiera (como préstamos, regalos, atenciones, hospitalidades, gratificaciones, viajes, comidas, entretenimiento, pasantías, beneficios o promesas), directa o indirectamente, a funcionarios gubernamentales nacionales o extranjeros o a cualquier otra persona, con el fin de: (i) influir corruptamente en cualquier acto o decisión; (</w:t>
      </w:r>
      <w:proofErr w:type="spellStart"/>
      <w:r>
        <w:t>ii</w:t>
      </w:r>
      <w:proofErr w:type="spellEnd"/>
      <w:r>
        <w:t>) inducir a una persona a actuar o dejar de actuar en violación de su deber legal; (</w:t>
      </w:r>
      <w:proofErr w:type="spellStart"/>
      <w:r>
        <w:t>iii</w:t>
      </w:r>
      <w:proofErr w:type="spellEnd"/>
      <w:r>
        <w:t>) influir indebidamente en un acto o decisión de otra persona o entidad; o (</w:t>
      </w:r>
      <w:proofErr w:type="spellStart"/>
      <w:r>
        <w:t>iv</w:t>
      </w:r>
      <w:proofErr w:type="spellEnd"/>
      <w:r>
        <w:t>) obtener o retener un negocio o lograr cualquier ventaja indebida en relación con la ejecución del Contrato.</w:t>
      </w:r>
    </w:p>
    <w:p w14:paraId="693BB55B" w14:textId="77777777" w:rsidR="00391DE9" w:rsidRDefault="00391DE9" w:rsidP="00391DE9">
      <w:pPr>
        <w:pStyle w:val="Prrafodelista"/>
        <w:ind w:left="142"/>
        <w:jc w:val="both"/>
      </w:pPr>
    </w:p>
    <w:p w14:paraId="32A95247" w14:textId="77777777" w:rsidR="00391DE9" w:rsidRPr="00394EDD" w:rsidRDefault="00391DE9" w:rsidP="00391DE9">
      <w:pPr>
        <w:pStyle w:val="Prrafodelista"/>
        <w:numPr>
          <w:ilvl w:val="0"/>
          <w:numId w:val="13"/>
        </w:numPr>
        <w:spacing w:after="0" w:line="240" w:lineRule="auto"/>
        <w:ind w:left="142"/>
        <w:jc w:val="both"/>
      </w:pPr>
      <w:r w:rsidRPr="00DF5950">
        <w:rPr>
          <w:b/>
          <w:bCs/>
        </w:rPr>
        <w:t>Contabilidad y controles internos:</w:t>
      </w:r>
    </w:p>
    <w:p w14:paraId="24C64F0D" w14:textId="77777777" w:rsidR="00391DE9" w:rsidRDefault="00391DE9" w:rsidP="00391DE9">
      <w:pPr>
        <w:pStyle w:val="Prrafodelista"/>
        <w:numPr>
          <w:ilvl w:val="1"/>
          <w:numId w:val="13"/>
        </w:numPr>
        <w:spacing w:after="0" w:line="240" w:lineRule="auto"/>
        <w:ind w:left="142"/>
        <w:jc w:val="both"/>
      </w:pPr>
      <w:r>
        <w:t>Que mantendrá un sistema de contabilidad que refleje, con detalle razonable y exactitud, todas las transacciones y disposiciones de activos relacionadas con la ejecución del Contrato y con los recursos que le sean entregados para su cumplimiento.</w:t>
      </w:r>
    </w:p>
    <w:p w14:paraId="66D376B8" w14:textId="77777777" w:rsidR="00391DE9" w:rsidRDefault="00391DE9" w:rsidP="00391DE9">
      <w:pPr>
        <w:pStyle w:val="Prrafodelista"/>
        <w:numPr>
          <w:ilvl w:val="1"/>
          <w:numId w:val="13"/>
        </w:numPr>
        <w:spacing w:after="0" w:line="240" w:lineRule="auto"/>
        <w:ind w:left="142"/>
        <w:jc w:val="both"/>
      </w:pPr>
      <w:r>
        <w:t>Que desarrollará y mantendrá un sistema de controles internos de contabilidad suficientes para proporcionar seguridad razonable respecto de lo siguiente:</w:t>
      </w:r>
    </w:p>
    <w:p w14:paraId="597E583E" w14:textId="77777777" w:rsidR="00391DE9" w:rsidRDefault="00391DE9" w:rsidP="00391DE9">
      <w:pPr>
        <w:pStyle w:val="Prrafodelista"/>
        <w:numPr>
          <w:ilvl w:val="2"/>
          <w:numId w:val="13"/>
        </w:numPr>
        <w:spacing w:after="0" w:line="240" w:lineRule="auto"/>
        <w:ind w:left="142" w:hanging="360"/>
        <w:jc w:val="both"/>
      </w:pPr>
      <w:r>
        <w:t>Que las transacciones ejecutadas en relación con el Contrato se realicen conforme a las autorizaciones correspondientes.</w:t>
      </w:r>
    </w:p>
    <w:p w14:paraId="5F0C35D6" w14:textId="77777777" w:rsidR="00391DE9" w:rsidRDefault="00391DE9" w:rsidP="00391DE9">
      <w:pPr>
        <w:pStyle w:val="Prrafodelista"/>
        <w:numPr>
          <w:ilvl w:val="2"/>
          <w:numId w:val="13"/>
        </w:numPr>
        <w:spacing w:after="0" w:line="240" w:lineRule="auto"/>
        <w:ind w:left="142" w:hanging="360"/>
        <w:jc w:val="both"/>
      </w:pPr>
      <w:r>
        <w:t>Que las transacciones ejecutadas en relación con el Contrato se registren adecuadamente para la preparación de estados financieros, de acuerdo con principios de contabilidad generalmente aceptados o con el criterio aplicable, y permitan mantener la trazabilidad de los activos.</w:t>
      </w:r>
    </w:p>
    <w:p w14:paraId="727A417C" w14:textId="77777777" w:rsidR="00391DE9" w:rsidRDefault="00391DE9" w:rsidP="00391DE9">
      <w:pPr>
        <w:pStyle w:val="Prrafodelista"/>
        <w:numPr>
          <w:ilvl w:val="2"/>
          <w:numId w:val="13"/>
        </w:numPr>
        <w:spacing w:after="0" w:line="240" w:lineRule="auto"/>
        <w:ind w:left="142" w:hanging="360"/>
        <w:jc w:val="both"/>
      </w:pPr>
      <w:r>
        <w:lastRenderedPageBreak/>
        <w:t>Que el acceso a activos relacionados con el Contrato solo se permita conforme a las autorizaciones correspondientes.</w:t>
      </w:r>
    </w:p>
    <w:p w14:paraId="572F1DB8" w14:textId="77777777" w:rsidR="00391DE9" w:rsidRDefault="00391DE9" w:rsidP="00391DE9">
      <w:pPr>
        <w:pStyle w:val="Prrafodelista"/>
        <w:numPr>
          <w:ilvl w:val="2"/>
          <w:numId w:val="13"/>
        </w:numPr>
        <w:spacing w:after="0" w:line="240" w:lineRule="auto"/>
        <w:ind w:left="142" w:hanging="360"/>
        <w:jc w:val="both"/>
      </w:pPr>
      <w:r>
        <w:t>Que la contabilidad registrada de los activos sea comparada periódicamente con los activos existentes y que se adopten las medidas pertinentes frente a cualquier diferencia.</w:t>
      </w:r>
    </w:p>
    <w:p w14:paraId="4593F66F" w14:textId="77777777" w:rsidR="00391DE9" w:rsidRDefault="00391DE9" w:rsidP="00391DE9">
      <w:pPr>
        <w:pStyle w:val="Prrafodelista"/>
        <w:numPr>
          <w:ilvl w:val="1"/>
          <w:numId w:val="13"/>
        </w:numPr>
        <w:spacing w:after="0" w:line="240" w:lineRule="auto"/>
        <w:ind w:left="142"/>
        <w:jc w:val="both"/>
      </w:pPr>
      <w:r>
        <w:t>Para efectos de esta sección, los términos «detalle razonable» y «seguridad razonable» se entenderán como aquellos que satisfacen estándares aplicables para el adecuado manejo contable y para la verificación por parte de autoridades competentes.</w:t>
      </w:r>
    </w:p>
    <w:p w14:paraId="5861CAF4" w14:textId="77777777" w:rsidR="00391DE9" w:rsidRDefault="00391DE9" w:rsidP="00391DE9">
      <w:pPr>
        <w:pStyle w:val="Prrafodelista"/>
        <w:ind w:left="142"/>
        <w:jc w:val="both"/>
      </w:pPr>
    </w:p>
    <w:p w14:paraId="3AB3C92F" w14:textId="77777777" w:rsidR="00391DE9" w:rsidRDefault="00391DE9" w:rsidP="00391DE9">
      <w:pPr>
        <w:pStyle w:val="Prrafodelista"/>
        <w:numPr>
          <w:ilvl w:val="0"/>
          <w:numId w:val="13"/>
        </w:numPr>
        <w:spacing w:after="0" w:line="240" w:lineRule="auto"/>
        <w:ind w:left="142"/>
        <w:jc w:val="both"/>
      </w:pPr>
      <w:r w:rsidRPr="008268C0">
        <w:rPr>
          <w:b/>
          <w:bCs/>
        </w:rPr>
        <w:t>Afiliaciones gubernamentales</w:t>
      </w:r>
      <w:r>
        <w:t xml:space="preserve">: </w:t>
      </w:r>
      <w:r w:rsidRPr="008268C0">
        <w:t xml:space="preserve">Que informará al </w:t>
      </w:r>
      <w:r w:rsidRPr="008268C0">
        <w:rPr>
          <w:b/>
          <w:bCs/>
        </w:rPr>
        <w:t>PATRIMONIO AUTÓNOMO</w:t>
      </w:r>
      <w:r w:rsidRPr="008268C0">
        <w:t xml:space="preserve"> (PA), por escrito y de manera inmediata, si sus dueños, directores, representantes legales o trabajadores relacionados con la ejecución del Contrato son funcionarios gubernamentales nacionales o extranjeros, o si son parientes de un funcionario gubernamental nacional o extranjero.</w:t>
      </w:r>
    </w:p>
    <w:p w14:paraId="1E39E20C" w14:textId="77777777" w:rsidR="00391DE9" w:rsidRDefault="00391DE9" w:rsidP="00391DE9">
      <w:pPr>
        <w:pStyle w:val="Prrafodelista"/>
        <w:ind w:left="142"/>
        <w:jc w:val="both"/>
      </w:pPr>
    </w:p>
    <w:p w14:paraId="2DA1B543" w14:textId="77777777" w:rsidR="00391DE9" w:rsidRPr="008268C0" w:rsidRDefault="00391DE9" w:rsidP="00391DE9">
      <w:pPr>
        <w:pStyle w:val="Prrafodelista"/>
        <w:numPr>
          <w:ilvl w:val="0"/>
          <w:numId w:val="13"/>
        </w:numPr>
        <w:spacing w:after="0" w:line="240" w:lineRule="auto"/>
        <w:ind w:left="142"/>
        <w:jc w:val="both"/>
        <w:rPr>
          <w:b/>
          <w:bCs/>
        </w:rPr>
      </w:pPr>
      <w:r w:rsidRPr="008268C0">
        <w:rPr>
          <w:b/>
          <w:bCs/>
        </w:rPr>
        <w:t xml:space="preserve">Derecho de auditoría: </w:t>
      </w:r>
    </w:p>
    <w:p w14:paraId="2FB38915" w14:textId="77777777" w:rsidR="00391DE9" w:rsidRDefault="00391DE9" w:rsidP="00391DE9">
      <w:pPr>
        <w:pStyle w:val="Prrafodelista"/>
        <w:numPr>
          <w:ilvl w:val="0"/>
          <w:numId w:val="14"/>
        </w:numPr>
        <w:spacing w:after="0" w:line="240" w:lineRule="auto"/>
        <w:ind w:left="142"/>
        <w:jc w:val="both"/>
      </w:pPr>
      <w:r>
        <w:t>Que acepta y reconoce que el PATRIMONIO AUTÓNOMO (PA), a través de la Fiduciaria en su calidad de vocera, podrá realizar verificaciones administrativas, auditorías financieras, operativas o de cumplimiento sobre el CONTRATISTA y sobre cualquier tercero que preste servicios o ejecute actividades relacionadas con el objeto del Contrato.</w:t>
      </w:r>
    </w:p>
    <w:p w14:paraId="159EB7E2" w14:textId="77777777" w:rsidR="00391DE9" w:rsidRDefault="00391DE9" w:rsidP="00391DE9">
      <w:pPr>
        <w:pStyle w:val="Prrafodelista"/>
        <w:ind w:left="142"/>
        <w:jc w:val="both"/>
      </w:pPr>
      <w:r>
        <w:t>Asimismo, podrá revisar la información que estime pertinente para verificar el cumplimiento de las Leyes Antisoborno, las obligaciones establecidas en este Anexo y la normativa aplicable en relación con la ejecución del Contrato y el manejo de los recursos.</w:t>
      </w:r>
    </w:p>
    <w:p w14:paraId="050116FF" w14:textId="77777777" w:rsidR="00391DE9" w:rsidRDefault="00391DE9" w:rsidP="00391DE9">
      <w:pPr>
        <w:pStyle w:val="Prrafodelista"/>
        <w:ind w:left="142"/>
        <w:jc w:val="both"/>
      </w:pPr>
      <w:r>
        <w:t>El CONTRATISTA se compromete a proporcionar toda la información requerida para dichos fines.</w:t>
      </w:r>
    </w:p>
    <w:p w14:paraId="15DBE977" w14:textId="77777777" w:rsidR="00391DE9" w:rsidRDefault="00391DE9" w:rsidP="00391DE9">
      <w:pPr>
        <w:pStyle w:val="Prrafodelista"/>
        <w:numPr>
          <w:ilvl w:val="0"/>
          <w:numId w:val="14"/>
        </w:numPr>
        <w:spacing w:after="0" w:line="240" w:lineRule="auto"/>
        <w:ind w:left="142"/>
        <w:jc w:val="both"/>
      </w:pPr>
      <w:r>
        <w:t xml:space="preserve">Que pactará con los terceros vinculados a la ejecución del Contrato la facultad de realizar verificaciones administrativas, seguimiento y auditorías financieras, operativas o de cumplimiento sobre los libros y registros de contabilidad relacionados con la ejecución contractual. </w:t>
      </w:r>
    </w:p>
    <w:p w14:paraId="30982FE1" w14:textId="77777777" w:rsidR="00391DE9" w:rsidRDefault="00391DE9" w:rsidP="00391DE9">
      <w:pPr>
        <w:jc w:val="both"/>
      </w:pPr>
    </w:p>
    <w:p w14:paraId="5971A6AD" w14:textId="77777777" w:rsidR="00391DE9" w:rsidRDefault="00391DE9" w:rsidP="00391DE9">
      <w:pPr>
        <w:pStyle w:val="Prrafodelista"/>
        <w:numPr>
          <w:ilvl w:val="0"/>
          <w:numId w:val="13"/>
        </w:numPr>
        <w:spacing w:after="0" w:line="240" w:lineRule="auto"/>
        <w:ind w:left="142"/>
        <w:jc w:val="both"/>
      </w:pPr>
      <w:r w:rsidRPr="00C16398">
        <w:rPr>
          <w:b/>
          <w:bCs/>
        </w:rPr>
        <w:t>Capacitación</w:t>
      </w:r>
      <w:r>
        <w:t xml:space="preserve">: </w:t>
      </w:r>
      <w:r w:rsidRPr="000D3987">
        <w:t>Que participará en los programas de sensibilización o capacitación que determine el PATRIMONIO AUTÓNOMO (PA), a través de la Fiduciaria en su calidad de vocera, durante la ejecución del Contrato, y que adelantará programas internos de formación dirigidos a sus trabajadores, proveedores, subcontratistas y demás personas que intervengan en su ejecución, con el fin de asegurar el mejoramiento permanente en los temas relacionados con este Anexo</w:t>
      </w:r>
      <w:r>
        <w:t xml:space="preserve">. </w:t>
      </w:r>
      <w:r w:rsidRPr="000D3987">
        <w:t>El CONTRATISTA realizará estas actividades de capacitación durante la ejecución del Contrato, coordinando su desarrollo con el interventor o quien haga sus veces</w:t>
      </w:r>
      <w:r>
        <w:t>.</w:t>
      </w:r>
    </w:p>
    <w:p w14:paraId="78140FD0" w14:textId="77777777" w:rsidR="00391DE9" w:rsidRDefault="00391DE9" w:rsidP="00391DE9">
      <w:pPr>
        <w:pStyle w:val="Prrafodelista"/>
        <w:ind w:left="142"/>
        <w:jc w:val="both"/>
        <w:rPr>
          <w:b/>
          <w:bCs/>
        </w:rPr>
      </w:pPr>
    </w:p>
    <w:p w14:paraId="34AF9E04" w14:textId="77777777" w:rsidR="00391DE9" w:rsidRDefault="00391DE9" w:rsidP="00391DE9">
      <w:pPr>
        <w:pStyle w:val="Prrafodelista"/>
        <w:ind w:left="142"/>
        <w:jc w:val="both"/>
      </w:pPr>
    </w:p>
    <w:p w14:paraId="504DD83E" w14:textId="77777777" w:rsidR="00391DE9" w:rsidRDefault="00391DE9" w:rsidP="00391DE9">
      <w:pPr>
        <w:pStyle w:val="Prrafodelista"/>
        <w:ind w:left="142"/>
        <w:jc w:val="both"/>
      </w:pPr>
    </w:p>
    <w:p w14:paraId="556DA5BA" w14:textId="77777777" w:rsidR="00391DE9" w:rsidRPr="000D3987" w:rsidRDefault="00391DE9" w:rsidP="00391DE9">
      <w:pPr>
        <w:pStyle w:val="Prrafodelista"/>
        <w:numPr>
          <w:ilvl w:val="0"/>
          <w:numId w:val="13"/>
        </w:numPr>
        <w:spacing w:after="0" w:line="240" w:lineRule="auto"/>
        <w:ind w:left="142"/>
        <w:jc w:val="both"/>
      </w:pPr>
      <w:r w:rsidRPr="000D3987">
        <w:rPr>
          <w:b/>
          <w:bCs/>
        </w:rPr>
        <w:t xml:space="preserve">Conflicto de interés y ético, inhabilidades e incompatibilidades: </w:t>
      </w:r>
    </w:p>
    <w:p w14:paraId="6A7BBD4A" w14:textId="77777777" w:rsidR="00391DE9" w:rsidRDefault="00391DE9" w:rsidP="00391DE9">
      <w:pPr>
        <w:pStyle w:val="Prrafodelista"/>
      </w:pPr>
    </w:p>
    <w:p w14:paraId="2819AF3A" w14:textId="77777777" w:rsidR="00391DE9" w:rsidRDefault="00391DE9" w:rsidP="00391DE9">
      <w:pPr>
        <w:pStyle w:val="Prrafodelista"/>
        <w:numPr>
          <w:ilvl w:val="1"/>
          <w:numId w:val="13"/>
        </w:numPr>
        <w:spacing w:after="0" w:line="240" w:lineRule="auto"/>
        <w:ind w:left="284"/>
        <w:jc w:val="both"/>
      </w:pPr>
      <w:r>
        <w:t xml:space="preserve">Que no está incurso en causal de inhabilidad o incompatibilidad para la suscripción del Contrato y que evitará cualquier situación que pueda constituir un conflicto de interés o un conflicto ético, de conformidad con la normativa aplicable. El CONTRATISTA se obliga a manifestar oportunamente cualquier conflicto, inhabilidad o incompatibilidad que se genere durante la ejecución del Contrato, a denunciar hechos que desconozcan las disposiciones legales y reglamentarias aplicables y a apartarse de los asuntos en los que surja alguna de estas </w:t>
      </w:r>
      <w:r>
        <w:lastRenderedPageBreak/>
        <w:t>circunstancias. Esta obligación cobija a sus trabajadores y a las personas vinculadas a la ejecución contractual.</w:t>
      </w:r>
    </w:p>
    <w:p w14:paraId="7C641AC2" w14:textId="77777777" w:rsidR="00391DE9" w:rsidRDefault="00391DE9" w:rsidP="00391DE9">
      <w:pPr>
        <w:pStyle w:val="Prrafodelista"/>
        <w:numPr>
          <w:ilvl w:val="1"/>
          <w:numId w:val="13"/>
        </w:numPr>
        <w:spacing w:after="0" w:line="240" w:lineRule="auto"/>
        <w:ind w:left="284"/>
        <w:jc w:val="both"/>
      </w:pPr>
      <w:r>
        <w:t>Que pactará con todos los terceros vinculados a la ejecución del Contrato el cumplimiento de la obligación prevista en el artículo 12 de la Ley 2195 de 2022, para suministrar la información requerida al Registro Único de Beneficiarios Finales (RUB).</w:t>
      </w:r>
    </w:p>
    <w:p w14:paraId="27638AC0" w14:textId="77777777" w:rsidR="00391DE9" w:rsidRDefault="00391DE9" w:rsidP="00391DE9">
      <w:pPr>
        <w:pStyle w:val="Prrafodelista"/>
        <w:numPr>
          <w:ilvl w:val="1"/>
          <w:numId w:val="13"/>
        </w:numPr>
        <w:spacing w:after="0" w:line="240" w:lineRule="auto"/>
        <w:ind w:left="284"/>
        <w:jc w:val="both"/>
      </w:pPr>
      <w:r>
        <w:t>Que se abstendrá de establecer, para efectos de la ejecución del Contrato, relaciones comerciales privadas que puedan generar conflictos de interés con trabajadores involucrados en la supervisión o intervención del proyecto, y reportará cualquier relación de su cónyuge, compañero(a) permanente, parientes hasta el cuarto grado de consanguinidad, segundo de afinidad, primero civil o socios de hecho o de derecho que pueda dar lugar a conflictos de interés, inhabilidades o incompatibilidades.</w:t>
      </w:r>
    </w:p>
    <w:p w14:paraId="30CEAE69" w14:textId="77777777" w:rsidR="00391DE9" w:rsidRDefault="00391DE9" w:rsidP="00391DE9">
      <w:pPr>
        <w:jc w:val="both"/>
      </w:pPr>
    </w:p>
    <w:p w14:paraId="0405B0A4" w14:textId="77777777" w:rsidR="00391DE9" w:rsidRPr="00DB1969" w:rsidRDefault="00391DE9" w:rsidP="00391DE9">
      <w:pPr>
        <w:pStyle w:val="Prrafodelista"/>
        <w:numPr>
          <w:ilvl w:val="0"/>
          <w:numId w:val="13"/>
        </w:numPr>
        <w:spacing w:after="0" w:line="240" w:lineRule="auto"/>
        <w:ind w:left="284" w:hanging="284"/>
        <w:jc w:val="both"/>
        <w:rPr>
          <w:b/>
          <w:bCs/>
        </w:rPr>
      </w:pPr>
      <w:r w:rsidRPr="003D5079">
        <w:rPr>
          <w:b/>
          <w:bCs/>
        </w:rPr>
        <w:t xml:space="preserve">Acoso Sexual: </w:t>
      </w:r>
      <w:r>
        <w:t>Que rechaza el acoso sexual en el entorno laboral, entendido conforme al delito consagrado en el artículo 210A del Código Penal y a las conductas descritas en la Directiva Presidencial 03 de 2022.</w:t>
      </w:r>
    </w:p>
    <w:p w14:paraId="6956236C" w14:textId="77777777" w:rsidR="00391DE9" w:rsidRDefault="00391DE9" w:rsidP="00391DE9">
      <w:pPr>
        <w:ind w:left="284"/>
        <w:jc w:val="both"/>
      </w:pPr>
      <w:r>
        <w:t>Que, en caso de tener conocimiento de una situación de esta naturaleza, se compromete a proteger los siguientes derechos:</w:t>
      </w:r>
    </w:p>
    <w:p w14:paraId="2899C7A5" w14:textId="77777777" w:rsidR="00391DE9" w:rsidRDefault="00391DE9" w:rsidP="00391DE9">
      <w:pPr>
        <w:pStyle w:val="Prrafodelista"/>
        <w:numPr>
          <w:ilvl w:val="1"/>
          <w:numId w:val="13"/>
        </w:numPr>
        <w:spacing w:after="0" w:line="240" w:lineRule="auto"/>
        <w:ind w:left="284" w:hanging="284"/>
        <w:jc w:val="both"/>
      </w:pPr>
      <w:r>
        <w:t>El derecho a contar libremente lo sucedido.</w:t>
      </w:r>
    </w:p>
    <w:p w14:paraId="2E8CBD83" w14:textId="77777777" w:rsidR="00391DE9" w:rsidRDefault="00391DE9" w:rsidP="00391DE9">
      <w:pPr>
        <w:pStyle w:val="Prrafodelista"/>
        <w:numPr>
          <w:ilvl w:val="1"/>
          <w:numId w:val="13"/>
        </w:numPr>
        <w:spacing w:after="0" w:line="240" w:lineRule="auto"/>
        <w:ind w:left="284" w:hanging="284"/>
        <w:jc w:val="both"/>
      </w:pPr>
      <w:r>
        <w:t>El derecho a la confidencialidad y reserva de la información.</w:t>
      </w:r>
    </w:p>
    <w:p w14:paraId="684F29BF" w14:textId="77777777" w:rsidR="00391DE9" w:rsidRDefault="00391DE9" w:rsidP="00391DE9">
      <w:pPr>
        <w:pStyle w:val="Prrafodelista"/>
        <w:numPr>
          <w:ilvl w:val="1"/>
          <w:numId w:val="13"/>
        </w:numPr>
        <w:spacing w:after="0" w:line="240" w:lineRule="auto"/>
        <w:ind w:left="284" w:hanging="284"/>
        <w:jc w:val="both"/>
      </w:pPr>
      <w:r>
        <w:t>El derecho a que la queja sea recibida sin juicios de valor y con seriedad.</w:t>
      </w:r>
    </w:p>
    <w:p w14:paraId="40017873" w14:textId="77777777" w:rsidR="00391DE9" w:rsidRDefault="00391DE9" w:rsidP="00391DE9">
      <w:pPr>
        <w:pStyle w:val="Prrafodelista"/>
        <w:numPr>
          <w:ilvl w:val="1"/>
          <w:numId w:val="13"/>
        </w:numPr>
        <w:spacing w:after="0" w:line="240" w:lineRule="auto"/>
        <w:ind w:left="284" w:hanging="284"/>
        <w:jc w:val="both"/>
      </w:pPr>
      <w:r>
        <w:t>El derecho a un trato respetuoso.</w:t>
      </w:r>
    </w:p>
    <w:p w14:paraId="1376BB7B" w14:textId="77777777" w:rsidR="00391DE9" w:rsidRDefault="00391DE9" w:rsidP="00391DE9">
      <w:pPr>
        <w:pStyle w:val="Prrafodelista"/>
        <w:numPr>
          <w:ilvl w:val="1"/>
          <w:numId w:val="13"/>
        </w:numPr>
        <w:spacing w:after="0" w:line="240" w:lineRule="auto"/>
        <w:ind w:left="284" w:hanging="284"/>
        <w:jc w:val="both"/>
      </w:pPr>
      <w:r>
        <w:t>El derecho a que no se tomen represalias que afecten su vinculación laboral o contractual.</w:t>
      </w:r>
    </w:p>
    <w:p w14:paraId="4D032025" w14:textId="77777777" w:rsidR="00391DE9" w:rsidRDefault="00391DE9" w:rsidP="00391DE9">
      <w:pPr>
        <w:pStyle w:val="Prrafodelista"/>
        <w:numPr>
          <w:ilvl w:val="1"/>
          <w:numId w:val="13"/>
        </w:numPr>
        <w:spacing w:after="0" w:line="240" w:lineRule="auto"/>
        <w:ind w:left="284" w:hanging="284"/>
        <w:jc w:val="both"/>
      </w:pPr>
      <w:r>
        <w:t>El derecho a recibir información clara y precisa sobre sus derechos, el proceso y las instancias a las que puede acudir.</w:t>
      </w:r>
    </w:p>
    <w:p w14:paraId="0BF509B4" w14:textId="77777777" w:rsidR="00391DE9" w:rsidRDefault="00391DE9" w:rsidP="00391DE9">
      <w:pPr>
        <w:pStyle w:val="Prrafodelista"/>
        <w:numPr>
          <w:ilvl w:val="1"/>
          <w:numId w:val="13"/>
        </w:numPr>
        <w:spacing w:after="0" w:line="240" w:lineRule="auto"/>
        <w:ind w:left="284" w:hanging="284"/>
        <w:jc w:val="both"/>
      </w:pPr>
      <w:r>
        <w:t>El derecho a recibir orientación en materia legal y psicológica.</w:t>
      </w:r>
    </w:p>
    <w:p w14:paraId="52820532" w14:textId="77777777" w:rsidR="00391DE9" w:rsidRDefault="00391DE9" w:rsidP="00391DE9">
      <w:pPr>
        <w:pStyle w:val="Prrafodelista"/>
        <w:numPr>
          <w:ilvl w:val="1"/>
          <w:numId w:val="13"/>
        </w:numPr>
        <w:spacing w:after="0" w:line="240" w:lineRule="auto"/>
        <w:ind w:left="284" w:hanging="284"/>
        <w:jc w:val="both"/>
      </w:pPr>
      <w:r>
        <w:t>El derecho a recibir acompañamiento por parte de la entidad competente.</w:t>
      </w:r>
    </w:p>
    <w:p w14:paraId="610E41F4" w14:textId="77777777" w:rsidR="00391DE9" w:rsidRDefault="00391DE9" w:rsidP="00391DE9">
      <w:pPr>
        <w:pStyle w:val="Prrafodelista"/>
        <w:numPr>
          <w:ilvl w:val="1"/>
          <w:numId w:val="13"/>
        </w:numPr>
        <w:spacing w:after="0" w:line="240" w:lineRule="auto"/>
        <w:ind w:left="284" w:hanging="284"/>
        <w:jc w:val="both"/>
      </w:pPr>
      <w:r>
        <w:t>El derecho a la debida diligencia y celeridad en las actuaciones.</w:t>
      </w:r>
    </w:p>
    <w:p w14:paraId="7B0511F7" w14:textId="77777777" w:rsidR="00391DE9" w:rsidRDefault="00391DE9" w:rsidP="00391DE9">
      <w:pPr>
        <w:pStyle w:val="Prrafodelista"/>
        <w:numPr>
          <w:ilvl w:val="1"/>
          <w:numId w:val="13"/>
        </w:numPr>
        <w:spacing w:after="0" w:line="240" w:lineRule="auto"/>
        <w:ind w:left="284" w:hanging="284"/>
        <w:jc w:val="both"/>
      </w:pPr>
      <w:r>
        <w:t xml:space="preserve">El CONTRATISTA se compromete a gestionar la protección del denunciante y a aplicar las medidas disciplinarias, sancionatorias o correctivas frente a quien ejecute la conducta de acoso. Esta obligación deberá exigirla también a sus subcontratistas. Su incumplimiento constituye incumplimiento contractual. </w:t>
      </w:r>
    </w:p>
    <w:p w14:paraId="0C8F3941" w14:textId="77777777" w:rsidR="00391DE9" w:rsidRDefault="00391DE9" w:rsidP="00391DE9">
      <w:pPr>
        <w:jc w:val="both"/>
      </w:pPr>
    </w:p>
    <w:p w14:paraId="6D94244A" w14:textId="77777777" w:rsidR="00391DE9" w:rsidRDefault="00391DE9" w:rsidP="00391DE9">
      <w:pPr>
        <w:pStyle w:val="Prrafodelista"/>
        <w:numPr>
          <w:ilvl w:val="0"/>
          <w:numId w:val="13"/>
        </w:numPr>
        <w:spacing w:after="0" w:line="240" w:lineRule="auto"/>
        <w:ind w:left="284" w:hanging="284"/>
        <w:jc w:val="both"/>
      </w:pPr>
      <w:r w:rsidRPr="00163F30">
        <w:rPr>
          <w:b/>
          <w:bCs/>
        </w:rPr>
        <w:t xml:space="preserve">Obligación de reportar incumplimiento: </w:t>
      </w:r>
      <w:r w:rsidRPr="00BD604D">
        <w:t>Que, en el evento en que el CONTRATISTA o cualquier persona vinculada a la ejecución del Contrato tenga conocimiento o sospecha de hechos relacionados con corrupción, soborno, fraude, lavado de activos, financiación del terrorismo, financiación de la proliferación de armas de destrucción masiva, conflictos de interés, inhabilidades, incompatibilidades, captación ilegal de recursos del público, violaciones a la libre y leal competencia o cualquier otra conducta que desconozca la normativa aplicable, se obliga —sin perjuicio de los deberes legales— a reportarlo de manera inmediata al PATRIMONIO AUTÓNOMO (PA) a través de los mecanismos que este determine para tal fin.</w:t>
      </w:r>
    </w:p>
    <w:p w14:paraId="67411521" w14:textId="77777777" w:rsidR="00391DE9" w:rsidRDefault="00391DE9" w:rsidP="00391DE9">
      <w:pPr>
        <w:jc w:val="both"/>
      </w:pPr>
    </w:p>
    <w:p w14:paraId="46D482B5" w14:textId="77777777" w:rsidR="00391DE9" w:rsidRDefault="00391DE9" w:rsidP="00391DE9">
      <w:pPr>
        <w:pStyle w:val="Prrafodelista"/>
        <w:numPr>
          <w:ilvl w:val="0"/>
          <w:numId w:val="13"/>
        </w:numPr>
        <w:spacing w:after="0" w:line="240" w:lineRule="auto"/>
        <w:ind w:left="142" w:hanging="426"/>
        <w:jc w:val="both"/>
      </w:pPr>
      <w:r w:rsidRPr="003D5079">
        <w:rPr>
          <w:b/>
          <w:bCs/>
        </w:rPr>
        <w:t>Pagos a terceros</w:t>
      </w:r>
      <w:r>
        <w:t xml:space="preserve">: </w:t>
      </w:r>
      <w:r w:rsidRPr="00494724">
        <w:t xml:space="preserve">Que todo pago a terceros que cumplan labores o tareas relacionadas con la ejecución del Contrato se realizará mediante transferencia bancaria a una cuenta a nombre del </w:t>
      </w:r>
      <w:r w:rsidRPr="00494724">
        <w:lastRenderedPageBreak/>
        <w:t xml:space="preserve">tercero, en una entidad financiera del país donde este preste sus servicios, y que cumplirá la prohibición de efectuar pagos en efectivo </w:t>
      </w:r>
    </w:p>
    <w:p w14:paraId="61A72CEC" w14:textId="77777777" w:rsidR="00391DE9" w:rsidRDefault="00391DE9" w:rsidP="00391DE9">
      <w:pPr>
        <w:pStyle w:val="Prrafodelista"/>
      </w:pPr>
    </w:p>
    <w:p w14:paraId="65734B66" w14:textId="77777777" w:rsidR="00391DE9" w:rsidRDefault="00391DE9" w:rsidP="00391DE9">
      <w:pPr>
        <w:pStyle w:val="Prrafodelista"/>
        <w:ind w:left="142"/>
        <w:jc w:val="both"/>
      </w:pPr>
      <w:r w:rsidRPr="00494724">
        <w:t>El pago indirecto a terceros podrá efectuarse únicamente a través de los mecanismos permitidos por la legislación nacional, garantizando el cumplimiento de los procedimientos y controles establecidos.</w:t>
      </w:r>
    </w:p>
    <w:p w14:paraId="132076F4" w14:textId="77777777" w:rsidR="00391DE9" w:rsidRDefault="00391DE9" w:rsidP="00391DE9">
      <w:pPr>
        <w:jc w:val="both"/>
      </w:pPr>
    </w:p>
    <w:p w14:paraId="5F801B85" w14:textId="77777777" w:rsidR="00391DE9" w:rsidRDefault="00391DE9" w:rsidP="00391DE9">
      <w:pPr>
        <w:pStyle w:val="Prrafodelista"/>
        <w:numPr>
          <w:ilvl w:val="0"/>
          <w:numId w:val="13"/>
        </w:numPr>
        <w:spacing w:after="0" w:line="240" w:lineRule="auto"/>
        <w:ind w:left="142" w:hanging="426"/>
        <w:jc w:val="both"/>
      </w:pPr>
      <w:r w:rsidRPr="00C36888">
        <w:rPr>
          <w:b/>
          <w:bCs/>
        </w:rPr>
        <w:t>Derecho de terminación por incumplimiento:</w:t>
      </w:r>
      <w:r>
        <w:t xml:space="preserve"> </w:t>
      </w:r>
      <w:r w:rsidRPr="00CD7377">
        <w:t>Que reconoce y acepta expresamente que cualquier violación de las Leyes Antisoborno o de las obligaciones previstas en este Anexo constituirá causal suficiente para que el PATRIMONIO AUTÓNOMO (PA), a través de la Fiduciaria en su calidad de vocera, pueda dar por terminado anticipadamente el Contrato, sin que haya lugar a indemnización alguna a favor del CONTRATISTA, y sin perjuicio de las acciones administrativas o judiciales que correspondan para recuperar recursos y mitigar los riesgos derivados del incumplimiento.</w:t>
      </w:r>
      <w:r>
        <w:t xml:space="preserve">. </w:t>
      </w:r>
    </w:p>
    <w:p w14:paraId="50ACB5F3" w14:textId="77777777" w:rsidR="00391DE9" w:rsidRDefault="00391DE9" w:rsidP="00391DE9">
      <w:pPr>
        <w:jc w:val="both"/>
      </w:pPr>
    </w:p>
    <w:p w14:paraId="0CCD160E" w14:textId="77777777" w:rsidR="00391DE9" w:rsidRDefault="00391DE9" w:rsidP="00391DE9">
      <w:pPr>
        <w:pStyle w:val="Prrafodelista"/>
        <w:numPr>
          <w:ilvl w:val="0"/>
          <w:numId w:val="13"/>
        </w:numPr>
        <w:spacing w:after="0" w:line="240" w:lineRule="auto"/>
        <w:ind w:left="142" w:hanging="426"/>
        <w:jc w:val="both"/>
      </w:pPr>
      <w:r w:rsidRPr="00C36888">
        <w:rPr>
          <w:b/>
          <w:bCs/>
        </w:rPr>
        <w:t>Uso de marcas y propiedad industrial e intelectual:</w:t>
      </w:r>
      <w:r>
        <w:t xml:space="preserve"> </w:t>
      </w:r>
      <w:r w:rsidRPr="00CD7377">
        <w:t>Que no utilizará el nombre, marca, enseña o cualquier elemento de propiedad industrial o intelectual del PATRIMONIO AUTÓNOMO (PA) o de la Fiduciaria para fines personales o no autorizados, ni para actividades distintas de las previstas en el Contrato, ni para fines ilícitos.</w:t>
      </w:r>
      <w:r>
        <w:t xml:space="preserve"> </w:t>
      </w:r>
      <w:r w:rsidRPr="00CD7377">
        <w:t>El CONTRATISTA deberá abstenerse de difundir información que afecte la imagen del PA o de cualquiera de las partes intervinientes en el Contrato basada en hechos no demostrados.</w:t>
      </w:r>
      <w:r>
        <w:t xml:space="preserve"> </w:t>
      </w:r>
    </w:p>
    <w:p w14:paraId="32D3C458" w14:textId="77777777" w:rsidR="00391DE9" w:rsidRDefault="00391DE9" w:rsidP="00391DE9">
      <w:pPr>
        <w:jc w:val="both"/>
      </w:pPr>
    </w:p>
    <w:p w14:paraId="012032B9" w14:textId="77777777" w:rsidR="00391DE9" w:rsidRPr="00C36888" w:rsidRDefault="00391DE9" w:rsidP="00391DE9">
      <w:pPr>
        <w:pStyle w:val="Prrafodelista"/>
        <w:numPr>
          <w:ilvl w:val="0"/>
          <w:numId w:val="13"/>
        </w:numPr>
        <w:spacing w:after="0" w:line="240" w:lineRule="auto"/>
        <w:ind w:left="142" w:hanging="426"/>
        <w:jc w:val="both"/>
      </w:pPr>
      <w:r w:rsidRPr="00C36888">
        <w:rPr>
          <w:b/>
          <w:bCs/>
        </w:rPr>
        <w:t>Prohibición</w:t>
      </w:r>
      <w:r w:rsidRPr="00C36888">
        <w:t xml:space="preserve">: </w:t>
      </w:r>
      <w:r w:rsidRPr="0042619E">
        <w:t>Que, en los términos de las leyes que regulan inhabilidades, incompatibilidades y prohibiciones aplicables a los contratos estatales —incluyendo la Ley 80 de 1993, Ley 1474 de 2011, Ley 1952 de 2019, Ley 2094 de 2021 y normas que las modifiquen o adicionen— se abstendrá de vincular, directa o indirectamente (incluyendo contratos temporales, agencias de empleo o cualquier forma de intermediación laboral), a exservidores públicos que hubieren conocido o intervenido en asuntos relacionados con el objeto del Contrato durante el ejercicio de sus funciones</w:t>
      </w:r>
      <w:r w:rsidRPr="00C36888">
        <w:t xml:space="preserve">. </w:t>
      </w:r>
      <w:r w:rsidRPr="0042619E">
        <w:t>Para estos efectos, el CONTRATISTA solicitará al exservidor una declaración formal de no encontrarse incurso en conflicto de interés, inhabilidad o incompatibilidad, e informará dicha situación al interventor o quien haga sus veces</w:t>
      </w:r>
      <w:r w:rsidRPr="00C36888">
        <w:t xml:space="preserve">. </w:t>
      </w:r>
    </w:p>
    <w:p w14:paraId="4B469303" w14:textId="77777777" w:rsidR="00391DE9" w:rsidRDefault="00391DE9" w:rsidP="00391DE9">
      <w:pPr>
        <w:jc w:val="both"/>
      </w:pPr>
    </w:p>
    <w:p w14:paraId="6D82AF95" w14:textId="77777777" w:rsidR="00391DE9" w:rsidRPr="00EC5B3A" w:rsidRDefault="00391DE9" w:rsidP="00391DE9">
      <w:pPr>
        <w:pStyle w:val="Prrafodelista"/>
        <w:numPr>
          <w:ilvl w:val="0"/>
          <w:numId w:val="13"/>
        </w:numPr>
        <w:spacing w:after="0" w:line="240" w:lineRule="auto"/>
        <w:ind w:left="142" w:hanging="426"/>
        <w:jc w:val="both"/>
        <w:rPr>
          <w:b/>
          <w:bCs/>
        </w:rPr>
      </w:pPr>
      <w:r w:rsidRPr="00C36888">
        <w:rPr>
          <w:b/>
          <w:bCs/>
        </w:rPr>
        <w:t xml:space="preserve">Confidencialidad y protección de datos personales: </w:t>
      </w:r>
      <w:r w:rsidRPr="0042619E">
        <w:t>Que, de conformidad con la Ley 1581 de 2012, Ley 1712 de 2014, Ley 1755 de 2015, el Decreto 1074 de 2015 y demás normativa aplicable, se obliga a proteger toda la información o dato que le sea entregado en el marco de la ejecución del Contrato, a guardar la confidencialidad debida y a dar un tratamiento adecuado a los datos personales</w:t>
      </w:r>
      <w:r>
        <w:t xml:space="preserve">. </w:t>
      </w:r>
      <w:r w:rsidRPr="00EC5B3A">
        <w:t>Que asegurará que todas las personas vinculadas a la ejecución del Contrato cumplan con las mismas obligaciones de reserva, confidencialidad y protección de datos personales.</w:t>
      </w:r>
      <w:r w:rsidRPr="00C36888">
        <w:t xml:space="preserve"> </w:t>
      </w:r>
    </w:p>
    <w:p w14:paraId="4996D619" w14:textId="77777777" w:rsidR="00391DE9" w:rsidRDefault="00391DE9" w:rsidP="00391DE9">
      <w:pPr>
        <w:pStyle w:val="Prrafodelista"/>
      </w:pPr>
    </w:p>
    <w:p w14:paraId="4CF824C2" w14:textId="29AFE37C" w:rsidR="006945B3" w:rsidRPr="00040DC5" w:rsidRDefault="00391DE9" w:rsidP="00040DC5">
      <w:pPr>
        <w:pStyle w:val="Prrafodelista"/>
        <w:ind w:left="142"/>
        <w:jc w:val="both"/>
        <w:rPr>
          <w:b/>
          <w:bCs/>
        </w:rPr>
      </w:pPr>
      <w:r w:rsidRPr="00EC5B3A">
        <w:t xml:space="preserve">Que, con la suscripción del Contrato, entiende y acepta que estas obligaciones se extienden a sus trabajadores, subcontratistas, proveedores y agentes, y que su vulneración podrá constituir causal de terminación </w:t>
      </w:r>
      <w:r w:rsidR="00040DC5" w:rsidRPr="00EC5B3A">
        <w:t>de este</w:t>
      </w:r>
      <w:r w:rsidR="00040DC5">
        <w:t>.</w:t>
      </w:r>
    </w:p>
    <w:sectPr w:rsidR="006945B3" w:rsidRPr="00040DC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F752" w14:textId="77777777" w:rsidR="00B55D10" w:rsidRDefault="00B55D10" w:rsidP="009622A7">
      <w:pPr>
        <w:spacing w:after="0" w:line="240" w:lineRule="auto"/>
      </w:pPr>
      <w:r>
        <w:separator/>
      </w:r>
    </w:p>
  </w:endnote>
  <w:endnote w:type="continuationSeparator" w:id="0">
    <w:p w14:paraId="0E4B9409" w14:textId="77777777" w:rsidR="00B55D10" w:rsidRDefault="00B55D10" w:rsidP="0096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76D" w14:textId="702D0DEF" w:rsidR="00A12024" w:rsidRPr="00A12024" w:rsidRDefault="00A12024" w:rsidP="00A12024">
    <w:pPr>
      <w:pStyle w:val="Piedepgina"/>
      <w:jc w:val="right"/>
      <w:rPr>
        <w:rFonts w:ascii="Segoe UI" w:hAnsi="Segoe UI" w:cs="Segoe UI"/>
        <w:sz w:val="14"/>
        <w:szCs w:val="14"/>
      </w:rPr>
    </w:pPr>
    <w:r w:rsidRPr="00A12024">
      <w:rPr>
        <w:rFonts w:ascii="Segoe UI" w:hAnsi="Segoe UI" w:cs="Segoe UI"/>
        <w:sz w:val="14"/>
        <w:szCs w:val="14"/>
        <w:lang w:val="es-ES"/>
      </w:rPr>
      <w:t xml:space="preserve">Página </w:t>
    </w:r>
    <w:r w:rsidRPr="00A12024">
      <w:rPr>
        <w:rFonts w:ascii="Segoe UI" w:hAnsi="Segoe UI" w:cs="Segoe UI"/>
        <w:b/>
        <w:bCs/>
        <w:sz w:val="14"/>
        <w:szCs w:val="14"/>
      </w:rPr>
      <w:fldChar w:fldCharType="begin"/>
    </w:r>
    <w:r w:rsidRPr="00A12024">
      <w:rPr>
        <w:rFonts w:ascii="Segoe UI" w:hAnsi="Segoe UI" w:cs="Segoe UI"/>
        <w:b/>
        <w:bCs/>
        <w:sz w:val="14"/>
        <w:szCs w:val="14"/>
      </w:rPr>
      <w:instrText>PAGE  \* Arabic  \* MERGEFORMAT</w:instrText>
    </w:r>
    <w:r w:rsidRPr="00A12024">
      <w:rPr>
        <w:rFonts w:ascii="Segoe UI" w:hAnsi="Segoe UI" w:cs="Segoe UI"/>
        <w:b/>
        <w:bCs/>
        <w:sz w:val="14"/>
        <w:szCs w:val="14"/>
      </w:rPr>
      <w:fldChar w:fldCharType="separate"/>
    </w:r>
    <w:r w:rsidRPr="00A12024">
      <w:rPr>
        <w:rFonts w:ascii="Segoe UI" w:hAnsi="Segoe UI" w:cs="Segoe UI"/>
        <w:b/>
        <w:bCs/>
        <w:sz w:val="14"/>
        <w:szCs w:val="14"/>
        <w:lang w:val="es-ES"/>
      </w:rPr>
      <w:t>1</w:t>
    </w:r>
    <w:r w:rsidRPr="00A12024">
      <w:rPr>
        <w:rFonts w:ascii="Segoe UI" w:hAnsi="Segoe UI" w:cs="Segoe UI"/>
        <w:b/>
        <w:bCs/>
        <w:sz w:val="14"/>
        <w:szCs w:val="14"/>
      </w:rPr>
      <w:fldChar w:fldCharType="end"/>
    </w:r>
    <w:r w:rsidRPr="00A12024">
      <w:rPr>
        <w:rFonts w:ascii="Segoe UI" w:hAnsi="Segoe UI" w:cs="Segoe UI"/>
        <w:sz w:val="14"/>
        <w:szCs w:val="14"/>
        <w:lang w:val="es-ES"/>
      </w:rPr>
      <w:t xml:space="preserve"> de </w:t>
    </w:r>
    <w:r w:rsidRPr="00A12024">
      <w:rPr>
        <w:rFonts w:ascii="Segoe UI" w:hAnsi="Segoe UI" w:cs="Segoe UI"/>
        <w:b/>
        <w:bCs/>
        <w:sz w:val="14"/>
        <w:szCs w:val="14"/>
      </w:rPr>
      <w:fldChar w:fldCharType="begin"/>
    </w:r>
    <w:r w:rsidRPr="00A12024">
      <w:rPr>
        <w:rFonts w:ascii="Segoe UI" w:hAnsi="Segoe UI" w:cs="Segoe UI"/>
        <w:b/>
        <w:bCs/>
        <w:sz w:val="14"/>
        <w:szCs w:val="14"/>
      </w:rPr>
      <w:instrText>NUMPAGES  \* Arabic  \* MERGEFORMAT</w:instrText>
    </w:r>
    <w:r w:rsidRPr="00A12024">
      <w:rPr>
        <w:rFonts w:ascii="Segoe UI" w:hAnsi="Segoe UI" w:cs="Segoe UI"/>
        <w:b/>
        <w:bCs/>
        <w:sz w:val="14"/>
        <w:szCs w:val="14"/>
      </w:rPr>
      <w:fldChar w:fldCharType="separate"/>
    </w:r>
    <w:r w:rsidRPr="00A12024">
      <w:rPr>
        <w:rFonts w:ascii="Segoe UI" w:hAnsi="Segoe UI" w:cs="Segoe UI"/>
        <w:b/>
        <w:bCs/>
        <w:sz w:val="14"/>
        <w:szCs w:val="14"/>
        <w:lang w:val="es-ES"/>
      </w:rPr>
      <w:t>2</w:t>
    </w:r>
    <w:r w:rsidRPr="00A12024">
      <w:rPr>
        <w:rFonts w:ascii="Segoe UI" w:hAnsi="Segoe UI" w:cs="Segoe UI"/>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BC2E" w14:textId="77777777" w:rsidR="00B55D10" w:rsidRDefault="00B55D10" w:rsidP="009622A7">
      <w:pPr>
        <w:spacing w:after="0" w:line="240" w:lineRule="auto"/>
      </w:pPr>
      <w:r>
        <w:separator/>
      </w:r>
    </w:p>
  </w:footnote>
  <w:footnote w:type="continuationSeparator" w:id="0">
    <w:p w14:paraId="3A9F0A38" w14:textId="77777777" w:rsidR="00B55D10" w:rsidRDefault="00B55D10" w:rsidP="0096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99DF" w14:textId="33B65B4D" w:rsidR="009622A7" w:rsidRDefault="009622A7">
    <w:pPr>
      <w:pStyle w:val="Encabezado"/>
    </w:pPr>
    <w:r>
      <w:rPr>
        <w:noProof/>
      </w:rPr>
      <w:drawing>
        <wp:inline distT="0" distB="0" distL="0" distR="0" wp14:anchorId="75D97834" wp14:editId="2B260672">
          <wp:extent cx="1924050" cy="691793"/>
          <wp:effectExtent l="0" t="0" r="0" b="0"/>
          <wp:docPr id="1825753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3201" name="Imagen 1825753201"/>
                  <pic:cNvPicPr/>
                </pic:nvPicPr>
                <pic:blipFill>
                  <a:blip r:embed="rId1">
                    <a:extLst>
                      <a:ext uri="{28A0092B-C50C-407E-A947-70E740481C1C}">
                        <a14:useLocalDpi xmlns:a14="http://schemas.microsoft.com/office/drawing/2010/main" val="0"/>
                      </a:ext>
                    </a:extLst>
                  </a:blip>
                  <a:stretch>
                    <a:fillRect/>
                  </a:stretch>
                </pic:blipFill>
                <pic:spPr>
                  <a:xfrm>
                    <a:off x="0" y="0"/>
                    <a:ext cx="1936763" cy="696364"/>
                  </a:xfrm>
                  <a:prstGeom prst="rect">
                    <a:avLst/>
                  </a:prstGeom>
                </pic:spPr>
              </pic:pic>
            </a:graphicData>
          </a:graphic>
        </wp:inline>
      </w:drawing>
    </w:r>
  </w:p>
  <w:p w14:paraId="0469F0C0" w14:textId="77777777" w:rsidR="009622A7" w:rsidRDefault="00962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CDA"/>
    <w:multiLevelType w:val="hybridMultilevel"/>
    <w:tmpl w:val="B3FE9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1B0038"/>
    <w:multiLevelType w:val="hybridMultilevel"/>
    <w:tmpl w:val="4850B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85423B"/>
    <w:multiLevelType w:val="hybridMultilevel"/>
    <w:tmpl w:val="24923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2A34F4"/>
    <w:multiLevelType w:val="hybridMultilevel"/>
    <w:tmpl w:val="6246908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E46924"/>
    <w:multiLevelType w:val="hybridMultilevel"/>
    <w:tmpl w:val="98E864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8D59AF"/>
    <w:multiLevelType w:val="hybridMultilevel"/>
    <w:tmpl w:val="A9803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C55AFB"/>
    <w:multiLevelType w:val="hybridMultilevel"/>
    <w:tmpl w:val="19A89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AD2DFE"/>
    <w:multiLevelType w:val="hybridMultilevel"/>
    <w:tmpl w:val="FF16A8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3807CA"/>
    <w:multiLevelType w:val="hybridMultilevel"/>
    <w:tmpl w:val="FE8871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CE873AE"/>
    <w:multiLevelType w:val="hybridMultilevel"/>
    <w:tmpl w:val="25C08A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F123A9"/>
    <w:multiLevelType w:val="hybridMultilevel"/>
    <w:tmpl w:val="7D14F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EA0525"/>
    <w:multiLevelType w:val="hybridMultilevel"/>
    <w:tmpl w:val="1B7CDF2E"/>
    <w:lvl w:ilvl="0" w:tplc="7FEAB3E2">
      <w:start w:val="1"/>
      <w:numFmt w:val="decimal"/>
      <w:lvlText w:val="%1."/>
      <w:lvlJc w:val="left"/>
      <w:pPr>
        <w:ind w:left="720" w:hanging="360"/>
      </w:pPr>
      <w:rPr>
        <w:rFonts w:hint="default"/>
        <w:b/>
        <w:bCs/>
      </w:rPr>
    </w:lvl>
    <w:lvl w:ilvl="1" w:tplc="215AEF7C">
      <w:start w:val="1"/>
      <w:numFmt w:val="lowerLetter"/>
      <w:lvlText w:val="%2."/>
      <w:lvlJc w:val="left"/>
      <w:pPr>
        <w:ind w:left="1440" w:hanging="360"/>
      </w:pPr>
      <w:rPr>
        <w:rFonts w:hint="default"/>
      </w:rPr>
    </w:lvl>
    <w:lvl w:ilvl="2" w:tplc="AF2CB136">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1796E10"/>
    <w:multiLevelType w:val="hybridMultilevel"/>
    <w:tmpl w:val="52841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A119D6"/>
    <w:multiLevelType w:val="hybridMultilevel"/>
    <w:tmpl w:val="ED4874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62807373">
    <w:abstractNumId w:val="3"/>
  </w:num>
  <w:num w:numId="2" w16cid:durableId="288242998">
    <w:abstractNumId w:val="7"/>
  </w:num>
  <w:num w:numId="3" w16cid:durableId="976565672">
    <w:abstractNumId w:val="5"/>
  </w:num>
  <w:num w:numId="4" w16cid:durableId="459226589">
    <w:abstractNumId w:val="0"/>
  </w:num>
  <w:num w:numId="5" w16cid:durableId="1377391475">
    <w:abstractNumId w:val="4"/>
  </w:num>
  <w:num w:numId="6" w16cid:durableId="1323507533">
    <w:abstractNumId w:val="2"/>
  </w:num>
  <w:num w:numId="7" w16cid:durableId="114255018">
    <w:abstractNumId w:val="1"/>
  </w:num>
  <w:num w:numId="8" w16cid:durableId="2023122118">
    <w:abstractNumId w:val="8"/>
  </w:num>
  <w:num w:numId="9" w16cid:durableId="2094466440">
    <w:abstractNumId w:val="12"/>
  </w:num>
  <w:num w:numId="10" w16cid:durableId="1702900404">
    <w:abstractNumId w:val="10"/>
  </w:num>
  <w:num w:numId="11" w16cid:durableId="965618725">
    <w:abstractNumId w:val="6"/>
  </w:num>
  <w:num w:numId="12" w16cid:durableId="1952853178">
    <w:abstractNumId w:val="9"/>
  </w:num>
  <w:num w:numId="13" w16cid:durableId="1971939127">
    <w:abstractNumId w:val="11"/>
  </w:num>
  <w:num w:numId="14" w16cid:durableId="611281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7"/>
    <w:rsid w:val="00002E2D"/>
    <w:rsid w:val="00040DC5"/>
    <w:rsid w:val="000A04C3"/>
    <w:rsid w:val="00133215"/>
    <w:rsid w:val="00144E66"/>
    <w:rsid w:val="001A4CC3"/>
    <w:rsid w:val="002040D9"/>
    <w:rsid w:val="00253861"/>
    <w:rsid w:val="00391DE9"/>
    <w:rsid w:val="003C1F44"/>
    <w:rsid w:val="00410865"/>
    <w:rsid w:val="004626D0"/>
    <w:rsid w:val="00477F5A"/>
    <w:rsid w:val="005A2D63"/>
    <w:rsid w:val="005C415D"/>
    <w:rsid w:val="005F5390"/>
    <w:rsid w:val="0062387D"/>
    <w:rsid w:val="006945B3"/>
    <w:rsid w:val="00722E73"/>
    <w:rsid w:val="0075188B"/>
    <w:rsid w:val="00752412"/>
    <w:rsid w:val="00851213"/>
    <w:rsid w:val="00902D5E"/>
    <w:rsid w:val="0094223A"/>
    <w:rsid w:val="009622A7"/>
    <w:rsid w:val="00A12024"/>
    <w:rsid w:val="00A1636A"/>
    <w:rsid w:val="00A4662E"/>
    <w:rsid w:val="00A57970"/>
    <w:rsid w:val="00A92F61"/>
    <w:rsid w:val="00B230EC"/>
    <w:rsid w:val="00B55D10"/>
    <w:rsid w:val="00BD7C34"/>
    <w:rsid w:val="00CB2EDC"/>
    <w:rsid w:val="00CD2460"/>
    <w:rsid w:val="00D0518E"/>
    <w:rsid w:val="00DB54E9"/>
    <w:rsid w:val="00DF1B9E"/>
    <w:rsid w:val="00E35FF7"/>
    <w:rsid w:val="00E42CDA"/>
    <w:rsid w:val="0133CA97"/>
    <w:rsid w:val="1878A9E9"/>
    <w:rsid w:val="60F083CD"/>
    <w:rsid w:val="619718F5"/>
    <w:rsid w:val="75E2FD28"/>
    <w:rsid w:val="7896A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A635"/>
  <w15:chartTrackingRefBased/>
  <w15:docId w15:val="{E6B806FE-8E01-4AEA-8532-906B4E4D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22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2A7"/>
  </w:style>
  <w:style w:type="paragraph" w:styleId="Piedepgina">
    <w:name w:val="footer"/>
    <w:basedOn w:val="Normal"/>
    <w:link w:val="PiedepginaCar"/>
    <w:uiPriority w:val="99"/>
    <w:unhideWhenUsed/>
    <w:rsid w:val="009622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2A7"/>
  </w:style>
  <w:style w:type="character" w:styleId="Hipervnculo">
    <w:name w:val="Hyperlink"/>
    <w:basedOn w:val="Fuentedeprrafopredeter"/>
    <w:uiPriority w:val="99"/>
    <w:unhideWhenUsed/>
    <w:rsid w:val="009622A7"/>
    <w:rPr>
      <w:color w:val="0563C1" w:themeColor="hyperlink"/>
      <w:u w:val="single"/>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902D5E"/>
    <w:pPr>
      <w:ind w:left="720"/>
      <w:contextualSpacing/>
    </w:p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BD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F66FA-F1FA-4A10-9878-2FF49B727F33}">
  <ds:schemaRefs>
    <ds:schemaRef ds:uri="http://schemas.microsoft.com/sharepoint/v3/contenttype/forms"/>
  </ds:schemaRefs>
</ds:datastoreItem>
</file>

<file path=customXml/itemProps2.xml><?xml version="1.0" encoding="utf-8"?>
<ds:datastoreItem xmlns:ds="http://schemas.openxmlformats.org/officeDocument/2006/customXml" ds:itemID="{560497B7-A4B5-42A4-BA50-CC24A25956C8}">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a6c0351b-822b-4316-85b8-cafaff84f70b"/>
    <ds:schemaRef ds:uri="http://purl.org/dc/terms/"/>
    <ds:schemaRef ds:uri="http://www.w3.org/XML/1998/namespace"/>
    <ds:schemaRef ds:uri="ec7a252a-b81a-4ec0-b412-96c8cc337025"/>
    <ds:schemaRef ds:uri="http://purl.org/dc/elements/1.1/"/>
  </ds:schemaRefs>
</ds:datastoreItem>
</file>

<file path=customXml/itemProps3.xml><?xml version="1.0" encoding="utf-8"?>
<ds:datastoreItem xmlns:ds="http://schemas.openxmlformats.org/officeDocument/2006/customXml" ds:itemID="{32B5FA45-02BD-4C24-82AC-5D82AA11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2116</Words>
  <Characters>13017</Characters>
  <Application>Microsoft Office Word</Application>
  <DocSecurity>0</DocSecurity>
  <Lines>371</Lines>
  <Paragraphs>204</Paragraphs>
  <ScaleCrop>false</ScaleCrop>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16</cp:revision>
  <dcterms:created xsi:type="dcterms:W3CDTF">2025-07-14T15:04:00Z</dcterms:created>
  <dcterms:modified xsi:type="dcterms:W3CDTF">2026-01-29T21:51:00Z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